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B24E" w14:textId="77777777" w:rsidR="00DD1503" w:rsidRPr="00DD1503" w:rsidRDefault="00DD1503" w:rsidP="00DD1503">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1440" w:right="-2650" w:firstLine="720"/>
        <w:rPr>
          <w:rFonts w:ascii="Times New Roman" w:hAnsi="Times New Roman"/>
          <w:b/>
          <w:sz w:val="28"/>
        </w:rPr>
      </w:pPr>
      <w:r w:rsidRPr="00DD1503">
        <w:rPr>
          <w:rFonts w:ascii="Times New Roman" w:hAnsi="Times New Roman"/>
          <w:b/>
          <w:sz w:val="28"/>
        </w:rPr>
        <w:t>Planning &amp; Development</w:t>
      </w:r>
    </w:p>
    <w:p w14:paraId="1CB53514" w14:textId="77777777" w:rsidR="008E5E2A" w:rsidRPr="00DD1503" w:rsidRDefault="004A22F3" w:rsidP="00DD1503">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1440" w:right="-2650" w:firstLine="720"/>
        <w:rPr>
          <w:rFonts w:ascii="Times New Roman" w:hAnsi="Times New Roman"/>
          <w:b/>
          <w:sz w:val="28"/>
          <w:szCs w:val="28"/>
        </w:rPr>
      </w:pPr>
      <w:r>
        <w:rPr>
          <w:b/>
          <w:noProof/>
        </w:rPr>
        <mc:AlternateContent>
          <mc:Choice Requires="wps">
            <w:drawing>
              <wp:anchor distT="0" distB="0" distL="114300" distR="114300" simplePos="0" relativeHeight="251657728" behindDoc="0" locked="0" layoutInCell="1" allowOverlap="1" wp14:anchorId="039E258C" wp14:editId="65131A8A">
                <wp:simplePos x="0" y="0"/>
                <wp:positionH relativeFrom="column">
                  <wp:posOffset>-68580</wp:posOffset>
                </wp:positionH>
                <wp:positionV relativeFrom="paragraph">
                  <wp:posOffset>-228600</wp:posOffset>
                </wp:positionV>
                <wp:extent cx="984250" cy="899795"/>
                <wp:effectExtent l="7620" t="9525"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899795"/>
                        </a:xfrm>
                        <a:prstGeom prst="rect">
                          <a:avLst/>
                        </a:prstGeom>
                        <a:solidFill>
                          <a:srgbClr val="FFFFFF"/>
                        </a:solidFill>
                        <a:ln w="9525">
                          <a:solidFill>
                            <a:srgbClr val="FFFFFF"/>
                          </a:solidFill>
                          <a:miter lim="800000"/>
                          <a:headEnd/>
                          <a:tailEnd/>
                        </a:ln>
                      </wps:spPr>
                      <wps:txbx>
                        <w:txbxContent>
                          <w:p w14:paraId="28EE0031" w14:textId="77777777" w:rsidR="00DD1503" w:rsidRDefault="004A22F3">
                            <w:r>
                              <w:rPr>
                                <w:rFonts w:ascii="Times New Roman" w:hAnsi="Times New Roman"/>
                                <w:noProof/>
                                <w:sz w:val="28"/>
                              </w:rPr>
                              <w:drawing>
                                <wp:inline distT="0" distB="0" distL="0" distR="0" wp14:anchorId="5416A64B" wp14:editId="03F6659D">
                                  <wp:extent cx="790575" cy="800100"/>
                                  <wp:effectExtent l="0" t="0" r="9525" b="0"/>
                                  <wp:docPr id="1" name="Picture 1" descr="Town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39E258C" id="_x0000_t202" coordsize="21600,21600" o:spt="202" path="m,l,21600r21600,l21600,xe">
                <v:stroke joinstyle="miter"/>
                <v:path gradientshapeok="t" o:connecttype="rect"/>
              </v:shapetype>
              <v:shape id="Text Box 2" o:spid="_x0000_s1026" type="#_x0000_t202" style="position:absolute;left:0;text-align:left;margin-left:-5.4pt;margin-top:-18pt;width:77.5pt;height:7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" strokecolor="white">
                <v:textbox style="mso-fit-shape-to-text:t">
                  <w:txbxContent>
                    <w:p w14:paraId="28EE0031" w14:textId="77777777" w:rsidR="00DD1503" w:rsidRDefault="004A22F3">
                      <w:r>
                        <w:rPr>
                          <w:rFonts w:ascii="Times New Roman" w:hAnsi="Times New Roman"/>
                          <w:noProof/>
                          <w:sz w:val="28"/>
                        </w:rPr>
                        <w:drawing>
                          <wp:inline distT="0" distB="0" distL="0" distR="0" wp14:anchorId="5416A64B" wp14:editId="03F6659D">
                            <wp:extent cx="790575" cy="800100"/>
                            <wp:effectExtent l="0" t="0" r="9525" b="0"/>
                            <wp:docPr id="1" name="Picture 1" descr="Town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xbxContent>
                </v:textbox>
              </v:shape>
            </w:pict>
          </mc:Fallback>
        </mc:AlternateContent>
      </w:r>
      <w:r w:rsidR="008E5E2A" w:rsidRPr="00DD1503">
        <w:rPr>
          <w:rFonts w:ascii="Times New Roman" w:hAnsi="Times New Roman"/>
          <w:b/>
          <w:sz w:val="28"/>
        </w:rPr>
        <w:t>208 Sanford Road</w:t>
      </w:r>
      <w:r w:rsidR="008E5E2A" w:rsidRPr="00DD1503">
        <w:rPr>
          <w:rFonts w:ascii="Times New Roman" w:hAnsi="Times New Roman"/>
          <w:b/>
          <w:sz w:val="28"/>
          <w:szCs w:val="28"/>
        </w:rPr>
        <w:t>, Wells, Maine   04090</w:t>
      </w:r>
    </w:p>
    <w:p w14:paraId="6EC1F277" w14:textId="77777777" w:rsidR="008E5E2A" w:rsidRPr="001219E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2340" w:right="-2650"/>
        <w:rPr>
          <w:rFonts w:ascii="Times New Roman" w:hAnsi="Times New Roman"/>
          <w:sz w:val="28"/>
          <w:szCs w:val="28"/>
        </w:rPr>
      </w:pPr>
      <w:r w:rsidRPr="001219EA">
        <w:rPr>
          <w:rFonts w:ascii="Times New Roman" w:hAnsi="Times New Roman"/>
          <w:sz w:val="28"/>
          <w:szCs w:val="28"/>
        </w:rPr>
        <w:t>Phone</w:t>
      </w:r>
      <w:proofErr w:type="gramStart"/>
      <w:r w:rsidRPr="001219EA">
        <w:rPr>
          <w:rFonts w:ascii="Times New Roman" w:hAnsi="Times New Roman"/>
          <w:sz w:val="28"/>
          <w:szCs w:val="28"/>
        </w:rPr>
        <w:t>:  (</w:t>
      </w:r>
      <w:proofErr w:type="gramEnd"/>
      <w:r w:rsidRPr="001219EA">
        <w:rPr>
          <w:rFonts w:ascii="Times New Roman" w:hAnsi="Times New Roman"/>
          <w:sz w:val="28"/>
          <w:szCs w:val="28"/>
        </w:rPr>
        <w:t>207) 646-5187, Fax</w:t>
      </w:r>
      <w:proofErr w:type="gramStart"/>
      <w:r w:rsidRPr="001219EA">
        <w:rPr>
          <w:rFonts w:ascii="Times New Roman" w:hAnsi="Times New Roman"/>
          <w:sz w:val="28"/>
          <w:szCs w:val="28"/>
        </w:rPr>
        <w:t>:  (</w:t>
      </w:r>
      <w:proofErr w:type="gramEnd"/>
      <w:r w:rsidRPr="001219EA">
        <w:rPr>
          <w:rFonts w:ascii="Times New Roman" w:hAnsi="Times New Roman"/>
          <w:sz w:val="28"/>
          <w:szCs w:val="28"/>
        </w:rPr>
        <w:t>207) 646-</w:t>
      </w:r>
      <w:r w:rsidR="002E6C35">
        <w:rPr>
          <w:rFonts w:ascii="Times New Roman" w:hAnsi="Times New Roman"/>
          <w:sz w:val="28"/>
          <w:szCs w:val="28"/>
        </w:rPr>
        <w:t>7046</w:t>
      </w:r>
    </w:p>
    <w:p w14:paraId="217FB3E5" w14:textId="77777777" w:rsidR="008E5E2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2340" w:right="-2650"/>
        <w:rPr>
          <w:rFonts w:ascii="Times New Roman" w:hAnsi="Times New Roman"/>
          <w:sz w:val="16"/>
          <w:szCs w:val="16"/>
        </w:rPr>
      </w:pPr>
      <w:r w:rsidRPr="001219EA">
        <w:rPr>
          <w:rFonts w:ascii="Times New Roman" w:hAnsi="Times New Roman"/>
          <w:sz w:val="28"/>
          <w:szCs w:val="28"/>
        </w:rPr>
        <w:t xml:space="preserve">Website:  </w:t>
      </w:r>
      <w:hyperlink r:id="rId9" w:history="1">
        <w:r w:rsidRPr="001219EA">
          <w:rPr>
            <w:rStyle w:val="Hyperlink"/>
            <w:rFonts w:ascii="Times New Roman" w:hAnsi="Times New Roman"/>
            <w:sz w:val="28"/>
            <w:szCs w:val="28"/>
          </w:rPr>
          <w:t>www.wellstown.org</w:t>
        </w:r>
      </w:hyperlink>
      <w:r w:rsidRPr="001219EA">
        <w:rPr>
          <w:rFonts w:ascii="Times New Roman" w:hAnsi="Times New Roman"/>
          <w:sz w:val="28"/>
          <w:szCs w:val="28"/>
        </w:rPr>
        <w:tab/>
      </w:r>
    </w:p>
    <w:p w14:paraId="3B252AFD" w14:textId="77777777" w:rsidR="008E5E2A" w:rsidRPr="001219E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3060" w:right="-2650"/>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2515"/>
      </w:tblGrid>
      <w:tr w:rsidR="008E5E2A" w:rsidRPr="000A672D" w14:paraId="739002B2" w14:textId="77777777" w:rsidTr="00785311">
        <w:tc>
          <w:tcPr>
            <w:tcW w:w="6120" w:type="dxa"/>
          </w:tcPr>
          <w:p w14:paraId="1BEEFABD" w14:textId="77777777" w:rsidR="008E5E2A" w:rsidRPr="00B451A5" w:rsidRDefault="008E5E2A"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proofErr w:type="gramStart"/>
            <w:r w:rsidRPr="00B451A5">
              <w:rPr>
                <w:rFonts w:ascii="Times New Roman" w:hAnsi="Times New Roman"/>
                <w:i/>
                <w:sz w:val="22"/>
                <w:szCs w:val="22"/>
              </w:rPr>
              <w:t>Michael  G.</w:t>
            </w:r>
            <w:proofErr w:type="gramEnd"/>
            <w:r w:rsidRPr="00B451A5">
              <w:rPr>
                <w:rFonts w:ascii="Times New Roman" w:hAnsi="Times New Roman"/>
                <w:i/>
                <w:sz w:val="22"/>
                <w:szCs w:val="22"/>
              </w:rPr>
              <w:t xml:space="preserve"> Livingston, Town Engineer/Planner </w:t>
            </w:r>
          </w:p>
        </w:tc>
        <w:tc>
          <w:tcPr>
            <w:tcW w:w="2520" w:type="dxa"/>
          </w:tcPr>
          <w:p w14:paraId="3A15DB6F" w14:textId="77777777" w:rsidR="008E5E2A" w:rsidRPr="00B451A5" w:rsidRDefault="008E5E2A"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hyperlink r:id="rId10" w:history="1">
              <w:r w:rsidRPr="00B451A5">
                <w:rPr>
                  <w:rStyle w:val="Hyperlink"/>
                  <w:rFonts w:ascii="Times New Roman" w:hAnsi="Times New Roman"/>
                  <w:i/>
                  <w:sz w:val="22"/>
                  <w:szCs w:val="22"/>
                </w:rPr>
                <w:t>mlivingston@wellstown.org</w:t>
              </w:r>
            </w:hyperlink>
          </w:p>
        </w:tc>
      </w:tr>
      <w:tr w:rsidR="008E5E2A" w:rsidRPr="000A672D" w14:paraId="57A7BC74" w14:textId="77777777" w:rsidTr="00785311">
        <w:tc>
          <w:tcPr>
            <w:tcW w:w="6120" w:type="dxa"/>
          </w:tcPr>
          <w:p w14:paraId="76C44A8A" w14:textId="77777777" w:rsidR="008E5E2A" w:rsidRPr="00B451A5" w:rsidRDefault="008E5E2A" w:rsidP="008D30B2">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proofErr w:type="gramStart"/>
            <w:r w:rsidRPr="00B451A5">
              <w:rPr>
                <w:rFonts w:ascii="Times New Roman" w:hAnsi="Times New Roman"/>
                <w:i/>
                <w:sz w:val="22"/>
                <w:szCs w:val="22"/>
              </w:rPr>
              <w:t xml:space="preserve">Shannon  </w:t>
            </w:r>
            <w:r w:rsidR="008D30B2">
              <w:rPr>
                <w:rFonts w:ascii="Times New Roman" w:hAnsi="Times New Roman"/>
                <w:i/>
                <w:sz w:val="22"/>
                <w:szCs w:val="22"/>
              </w:rPr>
              <w:t>L.M.</w:t>
            </w:r>
            <w:r w:rsidRPr="00B451A5">
              <w:rPr>
                <w:rFonts w:ascii="Times New Roman" w:hAnsi="Times New Roman"/>
                <w:i/>
                <w:sz w:val="22"/>
                <w:szCs w:val="22"/>
              </w:rPr>
              <w:t>.</w:t>
            </w:r>
            <w:proofErr w:type="gramEnd"/>
            <w:r w:rsidRPr="00B451A5">
              <w:rPr>
                <w:rFonts w:ascii="Times New Roman" w:hAnsi="Times New Roman"/>
                <w:i/>
                <w:sz w:val="22"/>
                <w:szCs w:val="22"/>
              </w:rPr>
              <w:t xml:space="preserve"> </w:t>
            </w:r>
            <w:proofErr w:type="gramStart"/>
            <w:r w:rsidRPr="00B451A5">
              <w:rPr>
                <w:rFonts w:ascii="Times New Roman" w:hAnsi="Times New Roman"/>
                <w:i/>
                <w:sz w:val="22"/>
                <w:szCs w:val="22"/>
              </w:rPr>
              <w:t xml:space="preserve">Belanger,  </w:t>
            </w:r>
            <w:r w:rsidR="00F16601">
              <w:rPr>
                <w:rFonts w:ascii="Times New Roman" w:hAnsi="Times New Roman"/>
                <w:i/>
                <w:sz w:val="22"/>
                <w:szCs w:val="22"/>
              </w:rPr>
              <w:t>Assistant</w:t>
            </w:r>
            <w:proofErr w:type="gramEnd"/>
            <w:r w:rsidR="00F16601">
              <w:rPr>
                <w:rFonts w:ascii="Times New Roman" w:hAnsi="Times New Roman"/>
                <w:i/>
                <w:sz w:val="22"/>
                <w:szCs w:val="22"/>
              </w:rPr>
              <w:t xml:space="preserve"> Planner</w:t>
            </w:r>
          </w:p>
        </w:tc>
        <w:tc>
          <w:tcPr>
            <w:tcW w:w="2520" w:type="dxa"/>
          </w:tcPr>
          <w:p w14:paraId="636C9547" w14:textId="77777777" w:rsidR="008E5E2A" w:rsidRPr="00B451A5" w:rsidRDefault="008E5E2A"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hyperlink r:id="rId11" w:history="1">
              <w:r w:rsidRPr="00B451A5">
                <w:rPr>
                  <w:rStyle w:val="Hyperlink"/>
                  <w:rFonts w:ascii="Times New Roman" w:hAnsi="Times New Roman"/>
                  <w:i/>
                  <w:sz w:val="22"/>
                  <w:szCs w:val="22"/>
                </w:rPr>
                <w:t>sbelanger@wellstown.org</w:t>
              </w:r>
            </w:hyperlink>
          </w:p>
        </w:tc>
      </w:tr>
    </w:tbl>
    <w:p w14:paraId="58F58B0D" w14:textId="77777777" w:rsidR="008E5E2A" w:rsidRPr="001219EA" w:rsidRDefault="008E5E2A" w:rsidP="008E5E2A">
      <w:pPr>
        <w:pBdr>
          <w:bottom w:val="thinThickSmallGap" w:sz="24" w:space="1" w:color="auto"/>
        </w:pBdr>
        <w:rPr>
          <w:sz w:val="10"/>
          <w:szCs w:val="10"/>
        </w:rPr>
      </w:pPr>
    </w:p>
    <w:p w14:paraId="5EE4548D" w14:textId="77777777" w:rsidR="00485E0D" w:rsidRDefault="00485E0D" w:rsidP="00485E0D">
      <w:pPr>
        <w:jc w:val="center"/>
        <w:rPr>
          <w:rFonts w:ascii="Times New Roman" w:hAnsi="Times New Roman"/>
          <w:b/>
          <w:sz w:val="23"/>
          <w:u w:val="single"/>
        </w:rPr>
      </w:pPr>
    </w:p>
    <w:p w14:paraId="211416B3" w14:textId="5B23031E" w:rsidR="00AE697C" w:rsidRDefault="00485E0D" w:rsidP="00485E0D">
      <w:pPr>
        <w:jc w:val="center"/>
        <w:rPr>
          <w:rFonts w:ascii="Times New Roman" w:hAnsi="Times New Roman"/>
          <w:b/>
          <w:sz w:val="23"/>
          <w:u w:val="single"/>
        </w:rPr>
      </w:pPr>
      <w:r>
        <w:rPr>
          <w:rFonts w:ascii="Times New Roman" w:hAnsi="Times New Roman"/>
          <w:b/>
          <w:sz w:val="23"/>
          <w:u w:val="single"/>
        </w:rPr>
        <w:t>Memo</w:t>
      </w:r>
    </w:p>
    <w:p w14:paraId="420D18E2" w14:textId="77777777" w:rsidR="008869EB" w:rsidRDefault="008869EB" w:rsidP="00485E0D">
      <w:pPr>
        <w:jc w:val="center"/>
        <w:rPr>
          <w:rFonts w:ascii="Times New Roman" w:hAnsi="Times New Roman"/>
          <w:b/>
          <w:sz w:val="23"/>
          <w:u w:val="single"/>
        </w:rPr>
      </w:pPr>
    </w:p>
    <w:p w14:paraId="444ED3D1" w14:textId="51B8429C" w:rsidR="00485E0D" w:rsidRDefault="00A73C31" w:rsidP="00485E0D">
      <w:pPr>
        <w:rPr>
          <w:rFonts w:ascii="Times New Roman" w:hAnsi="Times New Roman"/>
          <w:sz w:val="23"/>
        </w:rPr>
      </w:pPr>
      <w:r>
        <w:rPr>
          <w:rFonts w:ascii="Times New Roman" w:hAnsi="Times New Roman"/>
          <w:sz w:val="23"/>
        </w:rPr>
        <w:t>Date:</w:t>
      </w:r>
      <w:r>
        <w:rPr>
          <w:rFonts w:ascii="Times New Roman" w:hAnsi="Times New Roman"/>
          <w:sz w:val="23"/>
        </w:rPr>
        <w:tab/>
      </w:r>
      <w:r w:rsidR="001D1140">
        <w:rPr>
          <w:rFonts w:ascii="Times New Roman" w:hAnsi="Times New Roman"/>
          <w:sz w:val="23"/>
        </w:rPr>
        <w:t>January 9</w:t>
      </w:r>
      <w:r w:rsidR="00EE63B8">
        <w:rPr>
          <w:rFonts w:ascii="Times New Roman" w:hAnsi="Times New Roman"/>
          <w:sz w:val="23"/>
        </w:rPr>
        <w:t>, 202</w:t>
      </w:r>
      <w:r w:rsidR="001D1140">
        <w:rPr>
          <w:rFonts w:ascii="Times New Roman" w:hAnsi="Times New Roman"/>
          <w:sz w:val="23"/>
        </w:rPr>
        <w:t>6</w:t>
      </w:r>
    </w:p>
    <w:p w14:paraId="1F20CDD2" w14:textId="77777777" w:rsidR="00485E0D" w:rsidRPr="00A24BD4" w:rsidRDefault="00485E0D" w:rsidP="00485E0D">
      <w:pPr>
        <w:rPr>
          <w:rFonts w:ascii="Times New Roman" w:hAnsi="Times New Roman"/>
          <w:sz w:val="16"/>
          <w:szCs w:val="16"/>
        </w:rPr>
      </w:pPr>
    </w:p>
    <w:p w14:paraId="4884C369" w14:textId="3B7A6889" w:rsidR="00485E0D" w:rsidRDefault="00485E0D" w:rsidP="0015671A">
      <w:pPr>
        <w:rPr>
          <w:rFonts w:ascii="Times New Roman" w:hAnsi="Times New Roman"/>
          <w:sz w:val="23"/>
        </w:rPr>
      </w:pPr>
      <w:r>
        <w:rPr>
          <w:rFonts w:ascii="Times New Roman" w:hAnsi="Times New Roman"/>
          <w:sz w:val="23"/>
        </w:rPr>
        <w:t>To</w:t>
      </w:r>
      <w:proofErr w:type="gramStart"/>
      <w:r>
        <w:rPr>
          <w:rFonts w:ascii="Times New Roman" w:hAnsi="Times New Roman"/>
          <w:sz w:val="23"/>
        </w:rPr>
        <w:t xml:space="preserve">: </w:t>
      </w:r>
      <w:r w:rsidR="00B649F8">
        <w:rPr>
          <w:rFonts w:ascii="Times New Roman" w:hAnsi="Times New Roman"/>
          <w:sz w:val="23"/>
        </w:rPr>
        <w:tab/>
      </w:r>
      <w:r w:rsidR="00EE63B8">
        <w:rPr>
          <w:rFonts w:ascii="Times New Roman" w:hAnsi="Times New Roman"/>
          <w:sz w:val="23"/>
        </w:rPr>
        <w:t>Planning</w:t>
      </w:r>
      <w:proofErr w:type="gramEnd"/>
      <w:r w:rsidR="00EE63B8">
        <w:rPr>
          <w:rFonts w:ascii="Times New Roman" w:hAnsi="Times New Roman"/>
          <w:sz w:val="23"/>
        </w:rPr>
        <w:t xml:space="preserve"> </w:t>
      </w:r>
      <w:r w:rsidR="00973239">
        <w:rPr>
          <w:rFonts w:ascii="Times New Roman" w:hAnsi="Times New Roman"/>
          <w:sz w:val="23"/>
        </w:rPr>
        <w:t>Board</w:t>
      </w:r>
    </w:p>
    <w:p w14:paraId="28496FFC" w14:textId="77777777" w:rsidR="00485E0D" w:rsidRPr="00A24BD4" w:rsidRDefault="00485E0D" w:rsidP="00485E0D">
      <w:pPr>
        <w:rPr>
          <w:rFonts w:ascii="Times New Roman" w:hAnsi="Times New Roman"/>
          <w:sz w:val="16"/>
          <w:szCs w:val="16"/>
        </w:rPr>
      </w:pPr>
    </w:p>
    <w:p w14:paraId="2459CC0C" w14:textId="77777777" w:rsidR="00485E0D" w:rsidRDefault="00485E0D" w:rsidP="00485E0D">
      <w:pPr>
        <w:rPr>
          <w:rFonts w:ascii="Times New Roman" w:hAnsi="Times New Roman"/>
          <w:sz w:val="23"/>
        </w:rPr>
      </w:pPr>
      <w:r>
        <w:rPr>
          <w:rFonts w:ascii="Times New Roman" w:hAnsi="Times New Roman"/>
          <w:sz w:val="23"/>
        </w:rPr>
        <w:t>From:</w:t>
      </w:r>
      <w:r>
        <w:rPr>
          <w:rFonts w:ascii="Times New Roman" w:hAnsi="Times New Roman"/>
          <w:sz w:val="23"/>
        </w:rPr>
        <w:tab/>
        <w:t>Michael G. Livingston, Town Engineer/Planner</w:t>
      </w:r>
    </w:p>
    <w:p w14:paraId="23F5B65D" w14:textId="77777777" w:rsidR="00485E0D" w:rsidRPr="00A24BD4" w:rsidRDefault="00485E0D" w:rsidP="00485E0D">
      <w:pPr>
        <w:rPr>
          <w:rFonts w:ascii="Times New Roman" w:hAnsi="Times New Roman"/>
          <w:sz w:val="16"/>
          <w:szCs w:val="16"/>
        </w:rPr>
      </w:pPr>
    </w:p>
    <w:p w14:paraId="2461C4A2" w14:textId="388B7631" w:rsidR="00485E0D" w:rsidRDefault="00485E0D" w:rsidP="00485E0D">
      <w:pPr>
        <w:pBdr>
          <w:bottom w:val="single" w:sz="12" w:space="1" w:color="auto"/>
        </w:pBdr>
        <w:rPr>
          <w:rFonts w:ascii="Times New Roman" w:hAnsi="Times New Roman"/>
          <w:sz w:val="23"/>
        </w:rPr>
      </w:pPr>
      <w:r>
        <w:rPr>
          <w:rFonts w:ascii="Times New Roman" w:hAnsi="Times New Roman"/>
          <w:sz w:val="23"/>
        </w:rPr>
        <w:t>Re:</w:t>
      </w:r>
      <w:r>
        <w:rPr>
          <w:rFonts w:ascii="Times New Roman" w:hAnsi="Times New Roman"/>
          <w:sz w:val="23"/>
        </w:rPr>
        <w:tab/>
      </w:r>
      <w:r w:rsidR="00EE63B8">
        <w:rPr>
          <w:rFonts w:ascii="Times New Roman" w:hAnsi="Times New Roman"/>
          <w:sz w:val="23"/>
        </w:rPr>
        <w:t>Chapter 116 Flood</w:t>
      </w:r>
      <w:r w:rsidR="001345EE">
        <w:rPr>
          <w:rFonts w:ascii="Times New Roman" w:hAnsi="Times New Roman"/>
          <w:sz w:val="23"/>
        </w:rPr>
        <w:t xml:space="preserve"> Ordinance </w:t>
      </w:r>
      <w:r w:rsidR="00EE63B8">
        <w:rPr>
          <w:rFonts w:ascii="Times New Roman" w:hAnsi="Times New Roman"/>
          <w:sz w:val="23"/>
        </w:rPr>
        <w:t>Informat</w:t>
      </w:r>
      <w:r w:rsidR="00580B58">
        <w:rPr>
          <w:rFonts w:ascii="Times New Roman" w:hAnsi="Times New Roman"/>
          <w:sz w:val="23"/>
        </w:rPr>
        <w:t>ion</w:t>
      </w:r>
    </w:p>
    <w:p w14:paraId="084CE443" w14:textId="77777777" w:rsidR="00451923" w:rsidRDefault="00451923" w:rsidP="00451923">
      <w:pPr>
        <w:rPr>
          <w:sz w:val="22"/>
          <w:szCs w:val="22"/>
        </w:rPr>
      </w:pPr>
    </w:p>
    <w:p w14:paraId="45D8B102" w14:textId="5950F117" w:rsidR="004A5ABE" w:rsidRDefault="0049205D" w:rsidP="00451923">
      <w:pPr>
        <w:rPr>
          <w:b/>
          <w:bCs/>
          <w:sz w:val="22"/>
          <w:szCs w:val="22"/>
          <w:u w:val="single"/>
        </w:rPr>
      </w:pPr>
      <w:r>
        <w:rPr>
          <w:b/>
          <w:bCs/>
          <w:sz w:val="22"/>
          <w:szCs w:val="22"/>
          <w:u w:val="single"/>
        </w:rPr>
        <w:t>Background</w:t>
      </w:r>
    </w:p>
    <w:p w14:paraId="46000C32" w14:textId="77777777" w:rsidR="001001C4" w:rsidRDefault="001001C4" w:rsidP="00451923">
      <w:pPr>
        <w:rPr>
          <w:b/>
          <w:bCs/>
          <w:sz w:val="22"/>
          <w:szCs w:val="22"/>
          <w:u w:val="single"/>
        </w:rPr>
      </w:pPr>
    </w:p>
    <w:p w14:paraId="41E00715" w14:textId="2C1ACEB4" w:rsidR="00A26630" w:rsidRDefault="0049205D" w:rsidP="00451923">
      <w:pPr>
        <w:rPr>
          <w:sz w:val="22"/>
          <w:szCs w:val="22"/>
        </w:rPr>
      </w:pPr>
      <w:r>
        <w:rPr>
          <w:sz w:val="22"/>
          <w:szCs w:val="22"/>
        </w:rPr>
        <w:t xml:space="preserve">The Planning Board has </w:t>
      </w:r>
      <w:r w:rsidR="00EE63B8">
        <w:rPr>
          <w:sz w:val="22"/>
          <w:szCs w:val="22"/>
        </w:rPr>
        <w:t xml:space="preserve">discussed possible issues with the Flood Ordinance which was adopted at </w:t>
      </w:r>
      <w:r w:rsidR="00D814B1">
        <w:rPr>
          <w:sz w:val="22"/>
          <w:szCs w:val="22"/>
        </w:rPr>
        <w:t>the 2024</w:t>
      </w:r>
      <w:r w:rsidR="00EE63B8">
        <w:rPr>
          <w:sz w:val="22"/>
          <w:szCs w:val="22"/>
        </w:rPr>
        <w:t xml:space="preserve"> </w:t>
      </w:r>
      <w:r w:rsidR="004B2115">
        <w:rPr>
          <w:sz w:val="22"/>
          <w:szCs w:val="22"/>
        </w:rPr>
        <w:t xml:space="preserve">annual </w:t>
      </w:r>
      <w:r w:rsidR="00EE63B8">
        <w:rPr>
          <w:sz w:val="22"/>
          <w:szCs w:val="22"/>
        </w:rPr>
        <w:t xml:space="preserve">Town Meeting. The </w:t>
      </w:r>
      <w:r>
        <w:rPr>
          <w:sz w:val="22"/>
          <w:szCs w:val="22"/>
        </w:rPr>
        <w:t xml:space="preserve">ordinance changes </w:t>
      </w:r>
      <w:r w:rsidR="003D5465">
        <w:rPr>
          <w:sz w:val="22"/>
          <w:szCs w:val="22"/>
        </w:rPr>
        <w:t>were modelled after the Town’s existing ordinances, new/updated FEMA requirements and coincided with the adoption of revised Flood Maps. The process</w:t>
      </w:r>
      <w:r w:rsidR="00A26630">
        <w:rPr>
          <w:sz w:val="22"/>
          <w:szCs w:val="22"/>
        </w:rPr>
        <w:t xml:space="preserve"> in 2024</w:t>
      </w:r>
      <w:r w:rsidR="003D5465">
        <w:rPr>
          <w:sz w:val="22"/>
          <w:szCs w:val="22"/>
        </w:rPr>
        <w:t xml:space="preserve"> included multiple workshops with the Planning Board, Select Board, </w:t>
      </w:r>
      <w:r w:rsidR="004D0E24">
        <w:rPr>
          <w:sz w:val="22"/>
          <w:szCs w:val="22"/>
        </w:rPr>
        <w:t xml:space="preserve">a </w:t>
      </w:r>
      <w:r w:rsidR="00D814B1">
        <w:rPr>
          <w:sz w:val="22"/>
          <w:szCs w:val="22"/>
        </w:rPr>
        <w:t xml:space="preserve">joint </w:t>
      </w:r>
      <w:r w:rsidR="003D5465">
        <w:rPr>
          <w:sz w:val="22"/>
          <w:szCs w:val="22"/>
        </w:rPr>
        <w:t>public hearing</w:t>
      </w:r>
      <w:r w:rsidR="00142D94">
        <w:rPr>
          <w:sz w:val="22"/>
          <w:szCs w:val="22"/>
        </w:rPr>
        <w:t>,</w:t>
      </w:r>
      <w:r w:rsidR="003D5465">
        <w:rPr>
          <w:sz w:val="22"/>
          <w:szCs w:val="22"/>
        </w:rPr>
        <w:t xml:space="preserve"> and approval by the State Flood Management Office.</w:t>
      </w:r>
    </w:p>
    <w:p w14:paraId="24A2A8BF" w14:textId="77777777" w:rsidR="00A26630" w:rsidRDefault="00A26630" w:rsidP="00451923">
      <w:pPr>
        <w:rPr>
          <w:sz w:val="22"/>
          <w:szCs w:val="22"/>
        </w:rPr>
      </w:pPr>
    </w:p>
    <w:p w14:paraId="15DABB6B" w14:textId="0B454AA4" w:rsidR="00B407CF" w:rsidRDefault="001001C4" w:rsidP="00451923">
      <w:pPr>
        <w:rPr>
          <w:sz w:val="22"/>
          <w:szCs w:val="22"/>
        </w:rPr>
      </w:pPr>
      <w:r>
        <w:rPr>
          <w:sz w:val="22"/>
          <w:szCs w:val="22"/>
        </w:rPr>
        <w:t>The Planning Board has discussed possible changes in several workshops from July to present</w:t>
      </w:r>
      <w:r w:rsidR="00A26630">
        <w:rPr>
          <w:sz w:val="22"/>
          <w:szCs w:val="22"/>
        </w:rPr>
        <w:t>, previous memos</w:t>
      </w:r>
      <w:r w:rsidR="005142F8">
        <w:rPr>
          <w:sz w:val="22"/>
          <w:szCs w:val="22"/>
        </w:rPr>
        <w:t>: 7/3, 9/19, 10/17, 10/31,11/3, 11/25.</w:t>
      </w:r>
    </w:p>
    <w:p w14:paraId="469C2AA9" w14:textId="77777777" w:rsidR="001D1140" w:rsidRDefault="001D1140" w:rsidP="00451923">
      <w:pPr>
        <w:rPr>
          <w:sz w:val="22"/>
          <w:szCs w:val="22"/>
        </w:rPr>
      </w:pPr>
    </w:p>
    <w:p w14:paraId="34D69BBF" w14:textId="3952E07A" w:rsidR="001D1140" w:rsidRDefault="001D1140" w:rsidP="00451923">
      <w:pPr>
        <w:rPr>
          <w:sz w:val="22"/>
          <w:szCs w:val="22"/>
        </w:rPr>
      </w:pPr>
      <w:r>
        <w:rPr>
          <w:sz w:val="22"/>
          <w:szCs w:val="22"/>
        </w:rPr>
        <w:t>A Joint workshop was conducted with the Board of Selectmen and Planning Board on January 6, 2026.</w:t>
      </w:r>
    </w:p>
    <w:p w14:paraId="3522594E" w14:textId="77777777" w:rsidR="001001C4" w:rsidRDefault="001001C4" w:rsidP="00451923">
      <w:pPr>
        <w:rPr>
          <w:sz w:val="22"/>
          <w:szCs w:val="22"/>
        </w:rPr>
      </w:pPr>
    </w:p>
    <w:p w14:paraId="6F2706F3" w14:textId="77777777" w:rsidR="00B407CF" w:rsidRDefault="00B407CF" w:rsidP="00451923">
      <w:pPr>
        <w:rPr>
          <w:sz w:val="22"/>
          <w:szCs w:val="22"/>
        </w:rPr>
      </w:pPr>
    </w:p>
    <w:p w14:paraId="41837129" w14:textId="0C91F12A" w:rsidR="00D01A43" w:rsidRDefault="00DC6879" w:rsidP="00D01A43">
      <w:pPr>
        <w:rPr>
          <w:b/>
          <w:bCs/>
          <w:sz w:val="22"/>
          <w:szCs w:val="22"/>
          <w:u w:val="single"/>
        </w:rPr>
      </w:pPr>
      <w:r>
        <w:rPr>
          <w:b/>
          <w:bCs/>
          <w:sz w:val="22"/>
          <w:szCs w:val="22"/>
          <w:u w:val="single"/>
        </w:rPr>
        <w:t>Ordinance Changes</w:t>
      </w:r>
      <w:r w:rsidR="00D30FC8">
        <w:rPr>
          <w:b/>
          <w:bCs/>
          <w:sz w:val="22"/>
          <w:szCs w:val="22"/>
          <w:u w:val="single"/>
        </w:rPr>
        <w:t xml:space="preserve"> </w:t>
      </w:r>
      <w:r w:rsidR="00A26630">
        <w:rPr>
          <w:b/>
          <w:bCs/>
          <w:sz w:val="22"/>
          <w:szCs w:val="22"/>
          <w:u w:val="single"/>
        </w:rPr>
        <w:t>Discussed</w:t>
      </w:r>
      <w:r w:rsidR="001D1140">
        <w:rPr>
          <w:b/>
          <w:bCs/>
          <w:sz w:val="22"/>
          <w:szCs w:val="22"/>
          <w:u w:val="single"/>
        </w:rPr>
        <w:t xml:space="preserve"> - Definitions</w:t>
      </w:r>
      <w:r w:rsidR="00D01A43" w:rsidRPr="00D01A43">
        <w:rPr>
          <w:b/>
          <w:bCs/>
          <w:sz w:val="22"/>
          <w:szCs w:val="22"/>
          <w:u w:val="single"/>
        </w:rPr>
        <w:t>:</w:t>
      </w:r>
    </w:p>
    <w:p w14:paraId="3438CFED" w14:textId="77777777" w:rsidR="00D01A43" w:rsidRDefault="00D01A43" w:rsidP="00D01A43">
      <w:pPr>
        <w:rPr>
          <w:b/>
          <w:bCs/>
          <w:sz w:val="22"/>
          <w:szCs w:val="22"/>
          <w:u w:val="single"/>
        </w:rPr>
      </w:pPr>
    </w:p>
    <w:p w14:paraId="7052BBBA" w14:textId="77777777" w:rsidR="00D30FC8" w:rsidRDefault="00D30FC8" w:rsidP="00D30FC8">
      <w:pPr>
        <w:spacing w:line="255" w:lineRule="atLeast"/>
        <w:jc w:val="both"/>
        <w:rPr>
          <w:rFonts w:cs="Arial"/>
          <w:b/>
          <w:bCs/>
          <w:color w:val="0070C0"/>
          <w:kern w:val="0"/>
          <w:sz w:val="21"/>
          <w:szCs w:val="21"/>
          <w:u w:val="single"/>
        </w:rPr>
      </w:pPr>
      <w:r w:rsidRPr="008255FB">
        <w:rPr>
          <w:rFonts w:cs="Arial"/>
          <w:b/>
          <w:bCs/>
          <w:color w:val="0070C0"/>
          <w:kern w:val="0"/>
          <w:sz w:val="21"/>
          <w:szCs w:val="21"/>
          <w:u w:val="single"/>
        </w:rPr>
        <w:t>MARKET VALUE</w:t>
      </w:r>
    </w:p>
    <w:p w14:paraId="30F8C03D" w14:textId="35A6F350" w:rsidR="00D30FC8" w:rsidRDefault="00D30FC8" w:rsidP="00D30FC8">
      <w:pPr>
        <w:spacing w:line="255" w:lineRule="atLeast"/>
        <w:jc w:val="both"/>
        <w:rPr>
          <w:rFonts w:cs="Arial"/>
          <w:color w:val="0070C0"/>
          <w:kern w:val="0"/>
          <w:sz w:val="21"/>
          <w:szCs w:val="21"/>
          <w:u w:val="single"/>
        </w:rPr>
      </w:pPr>
      <w:r>
        <w:rPr>
          <w:rFonts w:cs="Arial"/>
          <w:color w:val="0070C0"/>
          <w:kern w:val="0"/>
          <w:sz w:val="21"/>
          <w:szCs w:val="21"/>
          <w:u w:val="single"/>
        </w:rPr>
        <w:t xml:space="preserve">The value a structure would bring on the open market. The following </w:t>
      </w:r>
      <w:proofErr w:type="gramStart"/>
      <w:r>
        <w:rPr>
          <w:rFonts w:cs="Arial"/>
          <w:color w:val="0070C0"/>
          <w:kern w:val="0"/>
          <w:sz w:val="21"/>
          <w:szCs w:val="21"/>
          <w:u w:val="single"/>
        </w:rPr>
        <w:t>apply</w:t>
      </w:r>
      <w:proofErr w:type="gramEnd"/>
      <w:r>
        <w:rPr>
          <w:rFonts w:cs="Arial"/>
          <w:color w:val="0070C0"/>
          <w:kern w:val="0"/>
          <w:sz w:val="21"/>
          <w:szCs w:val="21"/>
          <w:u w:val="single"/>
        </w:rPr>
        <w:t>:</w:t>
      </w:r>
    </w:p>
    <w:p w14:paraId="51F3ACC4" w14:textId="3D9C85AF" w:rsidR="00D30FC8" w:rsidRDefault="00D30FC8" w:rsidP="00D30FC8">
      <w:pPr>
        <w:pStyle w:val="ListParagraph"/>
        <w:numPr>
          <w:ilvl w:val="0"/>
          <w:numId w:val="6"/>
        </w:numPr>
        <w:spacing w:line="255" w:lineRule="atLeast"/>
        <w:jc w:val="both"/>
        <w:rPr>
          <w:rFonts w:cs="Arial"/>
          <w:color w:val="0070C0"/>
          <w:kern w:val="0"/>
          <w:sz w:val="21"/>
          <w:szCs w:val="21"/>
          <w:u w:val="single"/>
        </w:rPr>
      </w:pPr>
      <w:r>
        <w:rPr>
          <w:rFonts w:cs="Arial"/>
          <w:color w:val="0070C0"/>
          <w:kern w:val="0"/>
          <w:sz w:val="21"/>
          <w:szCs w:val="21"/>
          <w:u w:val="single"/>
        </w:rPr>
        <w:t xml:space="preserve">The value shall be based on the condition of the structure before the first improvement is undertaken within a </w:t>
      </w:r>
      <w:proofErr w:type="gramStart"/>
      <w:r w:rsidR="00523282">
        <w:rPr>
          <w:rFonts w:cs="Arial"/>
          <w:color w:val="0070C0"/>
          <w:kern w:val="0"/>
          <w:sz w:val="21"/>
          <w:szCs w:val="21"/>
          <w:u w:val="single"/>
        </w:rPr>
        <w:t>5</w:t>
      </w:r>
      <w:r>
        <w:rPr>
          <w:rFonts w:cs="Arial"/>
          <w:color w:val="0070C0"/>
          <w:kern w:val="0"/>
          <w:sz w:val="21"/>
          <w:szCs w:val="21"/>
          <w:u w:val="single"/>
        </w:rPr>
        <w:t xml:space="preserve"> year</w:t>
      </w:r>
      <w:proofErr w:type="gramEnd"/>
      <w:r>
        <w:rPr>
          <w:rFonts w:cs="Arial"/>
          <w:color w:val="0070C0"/>
          <w:kern w:val="0"/>
          <w:sz w:val="21"/>
          <w:szCs w:val="21"/>
          <w:u w:val="single"/>
        </w:rPr>
        <w:t xml:space="preserve"> period or before damage has </w:t>
      </w:r>
      <w:proofErr w:type="gramStart"/>
      <w:r>
        <w:rPr>
          <w:rFonts w:cs="Arial"/>
          <w:color w:val="0070C0"/>
          <w:kern w:val="0"/>
          <w:sz w:val="21"/>
          <w:szCs w:val="21"/>
          <w:u w:val="single"/>
        </w:rPr>
        <w:t>occurred;</w:t>
      </w:r>
      <w:proofErr w:type="gramEnd"/>
    </w:p>
    <w:p w14:paraId="0C37B56C" w14:textId="0971244D" w:rsidR="00D30FC8" w:rsidRPr="001D1140" w:rsidRDefault="00D30FC8" w:rsidP="00D30FC8">
      <w:pPr>
        <w:pStyle w:val="ListParagraph"/>
        <w:numPr>
          <w:ilvl w:val="0"/>
          <w:numId w:val="6"/>
        </w:numPr>
        <w:spacing w:line="255" w:lineRule="atLeast"/>
        <w:jc w:val="both"/>
        <w:rPr>
          <w:rFonts w:cs="Arial"/>
          <w:color w:val="0070C0"/>
          <w:kern w:val="0"/>
          <w:sz w:val="21"/>
          <w:szCs w:val="21"/>
          <w:u w:val="single"/>
        </w:rPr>
      </w:pPr>
      <w:r>
        <w:rPr>
          <w:rFonts w:cs="Arial"/>
          <w:color w:val="0070C0"/>
          <w:kern w:val="0"/>
          <w:sz w:val="21"/>
          <w:szCs w:val="21"/>
          <w:u w:val="single"/>
        </w:rPr>
        <w:t xml:space="preserve">Value not to be included is landscaping, hard scaping (driveways, ground level patios, fences, </w:t>
      </w:r>
      <w:proofErr w:type="spellStart"/>
      <w:r>
        <w:rPr>
          <w:rFonts w:cs="Arial"/>
          <w:color w:val="0070C0"/>
          <w:kern w:val="0"/>
          <w:sz w:val="21"/>
          <w:szCs w:val="21"/>
          <w:u w:val="single"/>
        </w:rPr>
        <w:t>ect</w:t>
      </w:r>
      <w:proofErr w:type="spellEnd"/>
      <w:r>
        <w:rPr>
          <w:rFonts w:cs="Arial"/>
          <w:color w:val="0070C0"/>
          <w:kern w:val="0"/>
          <w:sz w:val="21"/>
          <w:szCs w:val="21"/>
          <w:u w:val="single"/>
        </w:rPr>
        <w:t xml:space="preserve">.), accessory structures such as </w:t>
      </w:r>
      <w:r w:rsidRPr="00AB26ED">
        <w:rPr>
          <w:rFonts w:cs="Arial"/>
          <w:color w:val="0070C0"/>
          <w:kern w:val="0"/>
          <w:sz w:val="21"/>
          <w:szCs w:val="21"/>
          <w:u w:val="single"/>
        </w:rPr>
        <w:t>sheds, gazebos, pools/spas, docks, generators, seawalls</w:t>
      </w:r>
      <w:r>
        <w:rPr>
          <w:rFonts w:cs="Arial"/>
          <w:color w:val="0070C0"/>
          <w:kern w:val="0"/>
          <w:sz w:val="21"/>
          <w:szCs w:val="21"/>
          <w:u w:val="single"/>
        </w:rPr>
        <w:t xml:space="preserve"> </w:t>
      </w:r>
      <w:r w:rsidRPr="001D1140">
        <w:rPr>
          <w:rFonts w:cs="Arial"/>
          <w:color w:val="0070C0"/>
          <w:kern w:val="0"/>
          <w:sz w:val="21"/>
          <w:szCs w:val="21"/>
          <w:u w:val="single"/>
        </w:rPr>
        <w:t xml:space="preserve">shall be evaluated as separate structures with independent market </w:t>
      </w:r>
      <w:proofErr w:type="gramStart"/>
      <w:r w:rsidRPr="001D1140">
        <w:rPr>
          <w:rFonts w:cs="Arial"/>
          <w:color w:val="0070C0"/>
          <w:kern w:val="0"/>
          <w:sz w:val="21"/>
          <w:szCs w:val="21"/>
          <w:u w:val="single"/>
        </w:rPr>
        <w:t>values;</w:t>
      </w:r>
      <w:proofErr w:type="gramEnd"/>
    </w:p>
    <w:p w14:paraId="50379805" w14:textId="4FE3D8ED" w:rsidR="00D30FC8" w:rsidRPr="001D1140" w:rsidRDefault="00D30FC8" w:rsidP="00D30FC8">
      <w:pPr>
        <w:pStyle w:val="ListParagraph"/>
        <w:numPr>
          <w:ilvl w:val="0"/>
          <w:numId w:val="6"/>
        </w:numPr>
        <w:spacing w:line="255" w:lineRule="atLeast"/>
        <w:jc w:val="both"/>
        <w:rPr>
          <w:rFonts w:cs="Arial"/>
          <w:color w:val="0070C0"/>
          <w:kern w:val="0"/>
          <w:sz w:val="21"/>
          <w:szCs w:val="21"/>
          <w:u w:val="single"/>
        </w:rPr>
      </w:pPr>
      <w:r w:rsidRPr="001D1140">
        <w:rPr>
          <w:rFonts w:cs="Arial"/>
          <w:color w:val="0070C0"/>
          <w:kern w:val="0"/>
          <w:sz w:val="21"/>
          <w:szCs w:val="21"/>
          <w:u w:val="single"/>
        </w:rPr>
        <w:t xml:space="preserve">Evidence of value shall be the replacement cost stated on the tax assessment or an appraisal performed by a Maine licensed real estate </w:t>
      </w:r>
      <w:proofErr w:type="gramStart"/>
      <w:r w:rsidRPr="001D1140">
        <w:rPr>
          <w:rFonts w:cs="Arial"/>
          <w:color w:val="0070C0"/>
          <w:kern w:val="0"/>
          <w:sz w:val="21"/>
          <w:szCs w:val="21"/>
          <w:u w:val="single"/>
        </w:rPr>
        <w:t xml:space="preserve">appraiser </w:t>
      </w:r>
      <w:r w:rsidR="00087C3F" w:rsidRPr="001D1140">
        <w:rPr>
          <w:rFonts w:cs="Arial"/>
          <w:color w:val="EE0000"/>
          <w:kern w:val="0"/>
          <w:sz w:val="21"/>
          <w:szCs w:val="21"/>
          <w:u w:val="single"/>
        </w:rPr>
        <w:t>?</w:t>
      </w:r>
      <w:proofErr w:type="gramEnd"/>
      <w:r w:rsidR="00087C3F" w:rsidRPr="001D1140">
        <w:rPr>
          <w:rFonts w:cs="Arial"/>
          <w:color w:val="EE0000"/>
          <w:kern w:val="0"/>
          <w:sz w:val="21"/>
          <w:szCs w:val="21"/>
          <w:u w:val="single"/>
        </w:rPr>
        <w:t xml:space="preserve"> Insurance replacement value from the Maine Insurer’s </w:t>
      </w:r>
      <w:proofErr w:type="gramStart"/>
      <w:r w:rsidR="00087C3F" w:rsidRPr="001D1140">
        <w:rPr>
          <w:rFonts w:cs="Arial"/>
          <w:color w:val="EE0000"/>
          <w:kern w:val="0"/>
          <w:sz w:val="21"/>
          <w:szCs w:val="21"/>
          <w:u w:val="single"/>
        </w:rPr>
        <w:t>data base?</w:t>
      </w:r>
      <w:proofErr w:type="gramEnd"/>
      <w:r w:rsidR="00087C3F" w:rsidRPr="001D1140">
        <w:rPr>
          <w:rFonts w:cs="Arial"/>
          <w:color w:val="EE0000"/>
          <w:kern w:val="0"/>
          <w:sz w:val="21"/>
          <w:szCs w:val="21"/>
          <w:u w:val="single"/>
        </w:rPr>
        <w:t xml:space="preserve"> A </w:t>
      </w:r>
      <w:proofErr w:type="spellStart"/>
      <w:r w:rsidR="00087C3F" w:rsidRPr="001D1140">
        <w:rPr>
          <w:rFonts w:cs="Arial"/>
          <w:color w:val="EE0000"/>
          <w:kern w:val="0"/>
          <w:sz w:val="21"/>
          <w:szCs w:val="21"/>
          <w:u w:val="single"/>
        </w:rPr>
        <w:t>licenced</w:t>
      </w:r>
      <w:proofErr w:type="spellEnd"/>
      <w:r w:rsidR="00087C3F" w:rsidRPr="001D1140">
        <w:rPr>
          <w:rFonts w:cs="Arial"/>
          <w:color w:val="EE0000"/>
          <w:kern w:val="0"/>
          <w:sz w:val="21"/>
          <w:szCs w:val="21"/>
          <w:u w:val="single"/>
        </w:rPr>
        <w:t xml:space="preserve"> insurance assessor? </w:t>
      </w:r>
      <w:r w:rsidR="00087C3F" w:rsidRPr="001D1140">
        <w:rPr>
          <w:rFonts w:cs="Arial"/>
          <w:color w:val="0070C0"/>
          <w:kern w:val="0"/>
          <w:sz w:val="21"/>
          <w:szCs w:val="21"/>
          <w:u w:val="single"/>
        </w:rPr>
        <w:t>b</w:t>
      </w:r>
      <w:r w:rsidRPr="001D1140">
        <w:rPr>
          <w:rFonts w:cs="Arial"/>
          <w:color w:val="0070C0"/>
          <w:kern w:val="0"/>
          <w:sz w:val="21"/>
          <w:szCs w:val="21"/>
          <w:u w:val="single"/>
        </w:rPr>
        <w:t xml:space="preserve">ased on the structure before the improvement is undertaken or before damage has </w:t>
      </w:r>
      <w:proofErr w:type="gramStart"/>
      <w:r w:rsidRPr="001D1140">
        <w:rPr>
          <w:rFonts w:cs="Arial"/>
          <w:color w:val="0070C0"/>
          <w:kern w:val="0"/>
          <w:sz w:val="21"/>
          <w:szCs w:val="21"/>
          <w:u w:val="single"/>
        </w:rPr>
        <w:t>occurred;</w:t>
      </w:r>
      <w:proofErr w:type="gramEnd"/>
    </w:p>
    <w:p w14:paraId="5BC1FF29" w14:textId="14B8D7FB" w:rsidR="00D30FC8" w:rsidRPr="001D1140" w:rsidRDefault="00D30FC8" w:rsidP="00D30FC8">
      <w:pPr>
        <w:pStyle w:val="ListParagraph"/>
        <w:numPr>
          <w:ilvl w:val="0"/>
          <w:numId w:val="6"/>
        </w:numPr>
        <w:spacing w:line="255" w:lineRule="atLeast"/>
        <w:jc w:val="both"/>
        <w:rPr>
          <w:rFonts w:cs="Arial"/>
          <w:color w:val="0070C0"/>
          <w:kern w:val="0"/>
          <w:sz w:val="21"/>
          <w:szCs w:val="21"/>
          <w:u w:val="single"/>
        </w:rPr>
      </w:pPr>
      <w:r w:rsidRPr="001D1140">
        <w:rPr>
          <w:rFonts w:cs="Arial"/>
          <w:color w:val="0070C0"/>
          <w:kern w:val="0"/>
          <w:sz w:val="21"/>
          <w:szCs w:val="21"/>
          <w:u w:val="single"/>
        </w:rPr>
        <w:t xml:space="preserve">The evidence of value shall not include any depreciation </w:t>
      </w:r>
      <w:proofErr w:type="gramStart"/>
      <w:r w:rsidRPr="001D1140">
        <w:rPr>
          <w:rFonts w:cs="Arial"/>
          <w:color w:val="0070C0"/>
          <w:kern w:val="0"/>
          <w:sz w:val="21"/>
          <w:szCs w:val="21"/>
          <w:u w:val="single"/>
        </w:rPr>
        <w:t>adjustments;</w:t>
      </w:r>
      <w:proofErr w:type="gramEnd"/>
    </w:p>
    <w:p w14:paraId="6F013B7D" w14:textId="5F7DCA82" w:rsidR="00D30FC8" w:rsidRPr="001D1140" w:rsidRDefault="00D30FC8" w:rsidP="00674926">
      <w:pPr>
        <w:pStyle w:val="ListParagraph"/>
        <w:numPr>
          <w:ilvl w:val="0"/>
          <w:numId w:val="6"/>
        </w:numPr>
        <w:spacing w:line="255" w:lineRule="atLeast"/>
        <w:jc w:val="both"/>
        <w:rPr>
          <w:sz w:val="22"/>
          <w:szCs w:val="22"/>
        </w:rPr>
      </w:pPr>
      <w:r w:rsidRPr="001D1140">
        <w:rPr>
          <w:rFonts w:cs="Arial"/>
          <w:color w:val="0070C0"/>
          <w:kern w:val="0"/>
          <w:sz w:val="21"/>
          <w:szCs w:val="21"/>
          <w:u w:val="single"/>
        </w:rPr>
        <w:t xml:space="preserve">Value of the use </w:t>
      </w:r>
      <w:r w:rsidRPr="00A26630">
        <w:rPr>
          <w:rFonts w:cs="Arial"/>
          <w:color w:val="0070C0"/>
          <w:kern w:val="0"/>
          <w:sz w:val="21"/>
          <w:szCs w:val="21"/>
          <w:u w:val="single"/>
        </w:rPr>
        <w:t>and occupancy (business income) shall not be included.</w:t>
      </w:r>
    </w:p>
    <w:p w14:paraId="12A28D76" w14:textId="77777777" w:rsidR="001D1140" w:rsidRDefault="001D1140" w:rsidP="001D1140">
      <w:pPr>
        <w:spacing w:line="255" w:lineRule="atLeast"/>
        <w:jc w:val="both"/>
        <w:rPr>
          <w:sz w:val="22"/>
          <w:szCs w:val="22"/>
        </w:rPr>
      </w:pPr>
    </w:p>
    <w:p w14:paraId="24EB834A" w14:textId="77777777" w:rsidR="001D1140" w:rsidRPr="001D1140" w:rsidRDefault="001D1140" w:rsidP="001D1140">
      <w:pPr>
        <w:spacing w:line="255" w:lineRule="atLeast"/>
        <w:jc w:val="both"/>
        <w:rPr>
          <w:sz w:val="22"/>
          <w:szCs w:val="22"/>
        </w:rPr>
      </w:pPr>
    </w:p>
    <w:p w14:paraId="75BD9D90" w14:textId="77777777" w:rsidR="00DC6879" w:rsidRDefault="00DC6879" w:rsidP="00DC6879">
      <w:pPr>
        <w:rPr>
          <w:sz w:val="22"/>
          <w:szCs w:val="22"/>
        </w:rPr>
      </w:pPr>
    </w:p>
    <w:p w14:paraId="714549BA" w14:textId="77777777" w:rsidR="00D30FC8" w:rsidRPr="00A30E3A" w:rsidRDefault="00D30FC8" w:rsidP="00D30FC8">
      <w:pPr>
        <w:spacing w:line="255" w:lineRule="atLeast"/>
        <w:rPr>
          <w:rFonts w:cs="Arial"/>
          <w:kern w:val="0"/>
          <w:sz w:val="21"/>
          <w:szCs w:val="21"/>
        </w:rPr>
      </w:pPr>
      <w:hyperlink r:id="rId12" w:anchor="7610663" w:history="1">
        <w:r w:rsidRPr="00A30E3A">
          <w:rPr>
            <w:rFonts w:cs="Arial"/>
            <w:b/>
            <w:bCs/>
            <w:kern w:val="0"/>
            <w:sz w:val="21"/>
            <w:szCs w:val="21"/>
          </w:rPr>
          <w:t>SUBSTANTIAL IMPROVEMENT</w:t>
        </w:r>
      </w:hyperlink>
    </w:p>
    <w:p w14:paraId="0A2A4EF9" w14:textId="4AF19E11" w:rsidR="00D30FC8" w:rsidRPr="00A30E3A" w:rsidRDefault="00D30FC8" w:rsidP="00D30FC8">
      <w:pPr>
        <w:spacing w:line="255" w:lineRule="atLeast"/>
        <w:jc w:val="both"/>
        <w:rPr>
          <w:rFonts w:cs="Arial"/>
          <w:kern w:val="0"/>
          <w:sz w:val="21"/>
          <w:szCs w:val="21"/>
        </w:rPr>
      </w:pPr>
      <w:r w:rsidRPr="00560CDD">
        <w:rPr>
          <w:rFonts w:cs="Arial"/>
          <w:kern w:val="0"/>
          <w:sz w:val="21"/>
          <w:szCs w:val="21"/>
        </w:rPr>
        <w:t>Effective July 1</w:t>
      </w:r>
      <w:r w:rsidRPr="00FA507C">
        <w:rPr>
          <w:rFonts w:cs="Arial"/>
          <w:strike/>
          <w:color w:val="EE0000"/>
          <w:kern w:val="0"/>
          <w:sz w:val="21"/>
          <w:szCs w:val="21"/>
        </w:rPr>
        <w:t>7</w:t>
      </w:r>
      <w:r w:rsidRPr="00560CDD">
        <w:rPr>
          <w:rFonts w:cs="Arial"/>
          <w:kern w:val="0"/>
          <w:sz w:val="21"/>
          <w:szCs w:val="21"/>
        </w:rPr>
        <w:t>, 202</w:t>
      </w:r>
      <w:r w:rsidRPr="00FA507C">
        <w:rPr>
          <w:rFonts w:cs="Arial"/>
          <w:strike/>
          <w:color w:val="EE0000"/>
          <w:kern w:val="0"/>
          <w:sz w:val="21"/>
          <w:szCs w:val="21"/>
        </w:rPr>
        <w:t>4</w:t>
      </w:r>
      <w:r w:rsidR="00087C3F">
        <w:rPr>
          <w:rFonts w:cs="Arial"/>
          <w:color w:val="0070C0"/>
          <w:kern w:val="0"/>
          <w:sz w:val="21"/>
          <w:szCs w:val="21"/>
          <w:u w:val="single"/>
        </w:rPr>
        <w:t>6</w:t>
      </w:r>
      <w:r w:rsidRPr="00560CDD">
        <w:rPr>
          <w:rFonts w:cs="Arial"/>
          <w:kern w:val="0"/>
          <w:sz w:val="21"/>
          <w:szCs w:val="21"/>
        </w:rPr>
        <w:t xml:space="preserve">, any </w:t>
      </w:r>
      <w:r w:rsidRPr="00A30E3A">
        <w:rPr>
          <w:rFonts w:cs="Arial"/>
          <w:kern w:val="0"/>
          <w:sz w:val="21"/>
          <w:szCs w:val="21"/>
        </w:rPr>
        <w:t xml:space="preserve">singular or successive </w:t>
      </w:r>
      <w:r w:rsidRPr="00087C3F">
        <w:rPr>
          <w:rFonts w:cs="Arial"/>
          <w:strike/>
          <w:color w:val="EE0000"/>
          <w:kern w:val="0"/>
          <w:sz w:val="21"/>
          <w:szCs w:val="21"/>
        </w:rPr>
        <w:t>repairs,</w:t>
      </w:r>
      <w:r w:rsidRPr="00A30E3A">
        <w:rPr>
          <w:rFonts w:cs="Arial"/>
          <w:kern w:val="0"/>
          <w:sz w:val="21"/>
          <w:szCs w:val="21"/>
        </w:rPr>
        <w:t xml:space="preserve"> </w:t>
      </w:r>
      <w:r w:rsidR="00087C3F" w:rsidRPr="00087C3F">
        <w:rPr>
          <w:rFonts w:cs="Arial"/>
          <w:color w:val="0070C0"/>
          <w:kern w:val="0"/>
          <w:sz w:val="21"/>
          <w:szCs w:val="21"/>
          <w:u w:val="single"/>
        </w:rPr>
        <w:t>renovations,</w:t>
      </w:r>
      <w:r w:rsidR="00087C3F">
        <w:rPr>
          <w:rFonts w:cs="Arial"/>
          <w:kern w:val="0"/>
          <w:sz w:val="21"/>
          <w:szCs w:val="21"/>
        </w:rPr>
        <w:t xml:space="preserve"> </w:t>
      </w:r>
      <w:proofErr w:type="gramStart"/>
      <w:r w:rsidRPr="00A30E3A">
        <w:rPr>
          <w:rFonts w:cs="Arial"/>
          <w:kern w:val="0"/>
          <w:sz w:val="21"/>
          <w:szCs w:val="21"/>
        </w:rPr>
        <w:t>reconstructions, rehabilitations</w:t>
      </w:r>
      <w:proofErr w:type="gramEnd"/>
      <w:r w:rsidRPr="00A30E3A">
        <w:rPr>
          <w:rFonts w:cs="Arial"/>
          <w:kern w:val="0"/>
          <w:sz w:val="21"/>
          <w:szCs w:val="21"/>
        </w:rPr>
        <w:t>, additions, or other improvements of a structure, the cumulative cost (value) of which equals or exceeds 50% of the market value of the structure before the start of construction of the first improvement undertaken over</w:t>
      </w:r>
      <w:r w:rsidRPr="00560CDD">
        <w:rPr>
          <w:rFonts w:cs="Arial"/>
          <w:kern w:val="0"/>
          <w:sz w:val="21"/>
          <w:szCs w:val="21"/>
        </w:rPr>
        <w:t xml:space="preserve"> </w:t>
      </w:r>
      <w:r w:rsidR="00B85AF3" w:rsidRPr="00A30E3A">
        <w:rPr>
          <w:rFonts w:cs="Arial"/>
          <w:strike/>
          <w:color w:val="EE0000"/>
          <w:kern w:val="0"/>
          <w:sz w:val="21"/>
          <w:szCs w:val="21"/>
        </w:rPr>
        <w:t>the life of the structure</w:t>
      </w:r>
      <w:r w:rsidR="00B85AF3" w:rsidRPr="00A30E3A">
        <w:rPr>
          <w:rFonts w:cs="Arial"/>
          <w:kern w:val="0"/>
          <w:sz w:val="21"/>
          <w:szCs w:val="21"/>
        </w:rPr>
        <w:t xml:space="preserve"> </w:t>
      </w:r>
      <w:r w:rsidR="00B85AF3" w:rsidRPr="00A30E3A">
        <w:rPr>
          <w:rFonts w:cs="Arial"/>
          <w:color w:val="0070C0"/>
          <w:kern w:val="0"/>
          <w:sz w:val="21"/>
          <w:szCs w:val="21"/>
          <w:u w:val="single"/>
        </w:rPr>
        <w:t xml:space="preserve">a </w:t>
      </w:r>
      <w:proofErr w:type="gramStart"/>
      <w:r w:rsidR="00087C3F">
        <w:rPr>
          <w:rFonts w:cs="Arial"/>
          <w:color w:val="0070C0"/>
          <w:kern w:val="0"/>
          <w:sz w:val="21"/>
          <w:szCs w:val="21"/>
          <w:u w:val="single"/>
        </w:rPr>
        <w:t>5</w:t>
      </w:r>
      <w:r w:rsidR="00B85AF3" w:rsidRPr="00A30E3A">
        <w:rPr>
          <w:rFonts w:cs="Arial"/>
          <w:color w:val="0070C0"/>
          <w:kern w:val="0"/>
          <w:sz w:val="21"/>
          <w:szCs w:val="21"/>
          <w:u w:val="single"/>
        </w:rPr>
        <w:t xml:space="preserve"> year</w:t>
      </w:r>
      <w:proofErr w:type="gramEnd"/>
      <w:r w:rsidR="00B85AF3" w:rsidRPr="00A30E3A">
        <w:rPr>
          <w:rFonts w:cs="Arial"/>
          <w:color w:val="0070C0"/>
          <w:kern w:val="0"/>
          <w:sz w:val="21"/>
          <w:szCs w:val="21"/>
          <w:u w:val="single"/>
        </w:rPr>
        <w:t xml:space="preserve"> period</w:t>
      </w:r>
      <w:r w:rsidRPr="00A30E3A">
        <w:rPr>
          <w:rFonts w:cs="Arial"/>
          <w:kern w:val="0"/>
          <w:sz w:val="21"/>
          <w:szCs w:val="21"/>
        </w:rPr>
        <w:t>. This term "substantial improvement" includes structures which have incurred substantial damage</w:t>
      </w:r>
      <w:r w:rsidR="00FA507C">
        <w:rPr>
          <w:rFonts w:cs="Arial"/>
          <w:kern w:val="0"/>
          <w:sz w:val="21"/>
          <w:szCs w:val="21"/>
        </w:rPr>
        <w:t xml:space="preserve"> </w:t>
      </w:r>
      <w:r w:rsidR="00FA507C" w:rsidRPr="00FA507C">
        <w:rPr>
          <w:rFonts w:cs="Arial"/>
          <w:color w:val="0070C0"/>
          <w:kern w:val="0"/>
          <w:sz w:val="21"/>
          <w:szCs w:val="21"/>
          <w:u w:val="single"/>
        </w:rPr>
        <w:t>of any origin</w:t>
      </w:r>
      <w:r w:rsidRPr="00A30E3A">
        <w:rPr>
          <w:rFonts w:cs="Arial"/>
          <w:kern w:val="0"/>
          <w:sz w:val="21"/>
          <w:szCs w:val="21"/>
        </w:rPr>
        <w:t xml:space="preserve">, regardless of the actual repair work </w:t>
      </w:r>
      <w:proofErr w:type="gramStart"/>
      <w:r w:rsidRPr="00A30E3A">
        <w:rPr>
          <w:rFonts w:cs="Arial"/>
          <w:kern w:val="0"/>
          <w:sz w:val="21"/>
          <w:szCs w:val="21"/>
        </w:rPr>
        <w:t>performed</w:t>
      </w:r>
      <w:proofErr w:type="gramEnd"/>
      <w:r w:rsidRPr="00A30E3A">
        <w:rPr>
          <w:rFonts w:cs="Arial"/>
          <w:kern w:val="0"/>
          <w:sz w:val="21"/>
          <w:szCs w:val="21"/>
        </w:rPr>
        <w:t>. The term does not, however, include either:</w:t>
      </w:r>
    </w:p>
    <w:p w14:paraId="142465A0" w14:textId="77777777" w:rsidR="00D30FC8" w:rsidRPr="00A30E3A" w:rsidRDefault="00D30FC8" w:rsidP="00D30FC8">
      <w:pPr>
        <w:spacing w:line="255" w:lineRule="atLeast"/>
        <w:ind w:left="720"/>
        <w:rPr>
          <w:rFonts w:cs="Arial"/>
          <w:kern w:val="0"/>
          <w:sz w:val="21"/>
          <w:szCs w:val="21"/>
        </w:rPr>
      </w:pPr>
      <w:hyperlink r:id="rId13" w:anchor="7610664" w:history="1">
        <w:r w:rsidRPr="00A30E3A">
          <w:rPr>
            <w:rFonts w:cs="Arial"/>
            <w:kern w:val="0"/>
            <w:sz w:val="21"/>
            <w:szCs w:val="21"/>
          </w:rPr>
          <w:t>(1) </w:t>
        </w:r>
      </w:hyperlink>
      <w:r w:rsidRPr="00A30E3A">
        <w:rPr>
          <w:rFonts w:cs="Arial"/>
          <w:kern w:val="0"/>
          <w:sz w:val="21"/>
          <w:szCs w:val="21"/>
        </w:rPr>
        <w:t xml:space="preserve">Any project for improvement of a structure to correct existing violations of state or local health, sanitary, or safety code specifications which have been identified by the local code enforcement </w:t>
      </w:r>
      <w:proofErr w:type="gramStart"/>
      <w:r w:rsidRPr="00A30E3A">
        <w:rPr>
          <w:rFonts w:cs="Arial"/>
          <w:kern w:val="0"/>
          <w:sz w:val="21"/>
          <w:szCs w:val="21"/>
        </w:rPr>
        <w:t>official</w:t>
      </w:r>
      <w:proofErr w:type="gramEnd"/>
      <w:r w:rsidRPr="00A30E3A">
        <w:rPr>
          <w:rFonts w:cs="Arial"/>
          <w:kern w:val="0"/>
          <w:sz w:val="21"/>
          <w:szCs w:val="21"/>
        </w:rPr>
        <w:t xml:space="preserve"> and which are the minimum necessary to assure safe living conditions; or</w:t>
      </w:r>
    </w:p>
    <w:p w14:paraId="535B6352" w14:textId="77777777" w:rsidR="00D30FC8" w:rsidRPr="00A30E3A" w:rsidRDefault="00D30FC8" w:rsidP="00D30FC8">
      <w:pPr>
        <w:spacing w:line="255" w:lineRule="atLeast"/>
        <w:ind w:left="720"/>
        <w:rPr>
          <w:rFonts w:cs="Arial"/>
          <w:kern w:val="0"/>
          <w:sz w:val="21"/>
          <w:szCs w:val="21"/>
        </w:rPr>
      </w:pPr>
      <w:hyperlink r:id="rId14" w:anchor="7610665" w:history="1">
        <w:r w:rsidRPr="00A30E3A">
          <w:rPr>
            <w:rFonts w:cs="Arial"/>
            <w:kern w:val="0"/>
            <w:sz w:val="21"/>
            <w:szCs w:val="21"/>
          </w:rPr>
          <w:t>(2) </w:t>
        </w:r>
      </w:hyperlink>
      <w:r w:rsidRPr="00A30E3A">
        <w:rPr>
          <w:rFonts w:cs="Arial"/>
          <w:kern w:val="0"/>
          <w:sz w:val="21"/>
          <w:szCs w:val="21"/>
        </w:rPr>
        <w:t>Any alteration of an historic structure, provided that the alteration will not preclude the structure's continued designation as a historic structure, and a variance is obtained from the Zoning Board of Appeals.</w:t>
      </w:r>
    </w:p>
    <w:p w14:paraId="73FE2377" w14:textId="77777777" w:rsidR="00D30FC8" w:rsidRDefault="00D30FC8" w:rsidP="00D30FC8">
      <w:pPr>
        <w:spacing w:line="255" w:lineRule="atLeast"/>
        <w:ind w:left="720"/>
        <w:rPr>
          <w:rFonts w:cs="Arial"/>
          <w:kern w:val="0"/>
          <w:sz w:val="21"/>
          <w:szCs w:val="21"/>
        </w:rPr>
      </w:pPr>
      <w:r w:rsidRPr="00560CDD">
        <w:rPr>
          <w:rFonts w:cs="Arial"/>
          <w:kern w:val="0"/>
          <w:sz w:val="21"/>
          <w:szCs w:val="21"/>
        </w:rPr>
        <w:t xml:space="preserve">(3) Any record of cumulative cost (value) prior to July 17, </w:t>
      </w:r>
      <w:proofErr w:type="gramStart"/>
      <w:r w:rsidRPr="00560CDD">
        <w:rPr>
          <w:rFonts w:cs="Arial"/>
          <w:kern w:val="0"/>
          <w:sz w:val="21"/>
          <w:szCs w:val="21"/>
        </w:rPr>
        <w:t>2024</w:t>
      </w:r>
      <w:proofErr w:type="gramEnd"/>
      <w:r w:rsidRPr="00560CDD">
        <w:rPr>
          <w:rFonts w:cs="Arial"/>
          <w:kern w:val="0"/>
          <w:sz w:val="21"/>
          <w:szCs w:val="21"/>
        </w:rPr>
        <w:t xml:space="preserve"> shall no longer be applicable.</w:t>
      </w:r>
    </w:p>
    <w:p w14:paraId="77A394E6" w14:textId="55A6836C" w:rsidR="00D30FC8" w:rsidRPr="00473C2F" w:rsidRDefault="00D30FC8" w:rsidP="00D30FC8">
      <w:pPr>
        <w:spacing w:line="255" w:lineRule="atLeast"/>
        <w:ind w:left="720"/>
        <w:rPr>
          <w:rFonts w:cs="Arial"/>
          <w:color w:val="0070C0"/>
          <w:kern w:val="0"/>
          <w:sz w:val="21"/>
          <w:szCs w:val="21"/>
          <w:u w:val="single"/>
        </w:rPr>
      </w:pPr>
      <w:r w:rsidRPr="00473C2F">
        <w:rPr>
          <w:rFonts w:cs="Arial"/>
          <w:color w:val="0070C0"/>
          <w:kern w:val="0"/>
          <w:sz w:val="21"/>
          <w:szCs w:val="21"/>
          <w:u w:val="single"/>
        </w:rPr>
        <w:t xml:space="preserve">(4) The cumulative cost shall </w:t>
      </w:r>
      <w:r w:rsidR="00FA507C">
        <w:rPr>
          <w:rFonts w:cs="Arial"/>
          <w:color w:val="0070C0"/>
          <w:kern w:val="0"/>
          <w:sz w:val="21"/>
          <w:szCs w:val="21"/>
          <w:u w:val="single"/>
        </w:rPr>
        <w:t xml:space="preserve">not </w:t>
      </w:r>
      <w:r w:rsidRPr="00473C2F">
        <w:rPr>
          <w:rFonts w:cs="Arial"/>
          <w:color w:val="0070C0"/>
          <w:kern w:val="0"/>
          <w:sz w:val="21"/>
          <w:szCs w:val="21"/>
          <w:u w:val="single"/>
        </w:rPr>
        <w:t xml:space="preserve">include </w:t>
      </w:r>
      <w:r w:rsidR="00FA507C">
        <w:rPr>
          <w:rFonts w:cs="Arial"/>
          <w:color w:val="0070C0"/>
          <w:kern w:val="0"/>
          <w:sz w:val="21"/>
          <w:szCs w:val="21"/>
          <w:u w:val="single"/>
        </w:rPr>
        <w:t xml:space="preserve">maintenance costs </w:t>
      </w:r>
      <w:r>
        <w:rPr>
          <w:rFonts w:cs="Arial"/>
          <w:color w:val="0070C0"/>
          <w:kern w:val="0"/>
          <w:sz w:val="21"/>
          <w:szCs w:val="21"/>
          <w:u w:val="single"/>
        </w:rPr>
        <w:t>such as re-roofing, re</w:t>
      </w:r>
      <w:r w:rsidR="00063F0F">
        <w:rPr>
          <w:rFonts w:cs="Arial"/>
          <w:color w:val="0070C0"/>
          <w:kern w:val="0"/>
          <w:sz w:val="21"/>
          <w:szCs w:val="21"/>
          <w:u w:val="single"/>
        </w:rPr>
        <w:t>-</w:t>
      </w:r>
      <w:r>
        <w:rPr>
          <w:rFonts w:cs="Arial"/>
          <w:color w:val="0070C0"/>
          <w:kern w:val="0"/>
          <w:sz w:val="21"/>
          <w:szCs w:val="21"/>
          <w:u w:val="single"/>
        </w:rPr>
        <w:t xml:space="preserve">siding, </w:t>
      </w:r>
      <w:r w:rsidR="00063F0F">
        <w:rPr>
          <w:rFonts w:cs="Arial"/>
          <w:color w:val="0070C0"/>
          <w:kern w:val="0"/>
          <w:sz w:val="21"/>
          <w:szCs w:val="21"/>
          <w:u w:val="single"/>
        </w:rPr>
        <w:t>re-painting</w:t>
      </w:r>
      <w:r>
        <w:rPr>
          <w:rFonts w:cs="Arial"/>
          <w:color w:val="0070C0"/>
          <w:kern w:val="0"/>
          <w:sz w:val="21"/>
          <w:szCs w:val="21"/>
          <w:u w:val="single"/>
        </w:rPr>
        <w:t xml:space="preserve">, </w:t>
      </w:r>
      <w:r w:rsidR="00087C3F">
        <w:rPr>
          <w:rFonts w:cs="Arial"/>
          <w:color w:val="0070C0"/>
          <w:kern w:val="0"/>
          <w:sz w:val="21"/>
          <w:szCs w:val="21"/>
          <w:u w:val="single"/>
        </w:rPr>
        <w:t>window or door replacement that does not alter the building’s structure, replacing decking boards</w:t>
      </w:r>
      <w:r w:rsidR="001D1140">
        <w:rPr>
          <w:rFonts w:cs="Arial"/>
          <w:color w:val="0070C0"/>
          <w:kern w:val="0"/>
          <w:sz w:val="21"/>
          <w:szCs w:val="21"/>
          <w:u w:val="single"/>
        </w:rPr>
        <w:t xml:space="preserve"> or railings, replacing appliances. Some of these items may require a building permit and a flood permit, but the value/cost shall not be included in the cumulative cost calculation.</w:t>
      </w:r>
      <w:r w:rsidR="00087C3F">
        <w:rPr>
          <w:rFonts w:cs="Arial"/>
          <w:color w:val="0070C0"/>
          <w:kern w:val="0"/>
          <w:sz w:val="21"/>
          <w:szCs w:val="21"/>
          <w:u w:val="single"/>
        </w:rPr>
        <w:t xml:space="preserve"> </w:t>
      </w:r>
    </w:p>
    <w:p w14:paraId="59942162" w14:textId="77777777" w:rsidR="00D30FC8" w:rsidRDefault="00D30FC8" w:rsidP="00D30FC8">
      <w:pPr>
        <w:spacing w:line="255" w:lineRule="atLeast"/>
        <w:rPr>
          <w:rFonts w:cs="Arial"/>
          <w:color w:val="0070C0"/>
          <w:kern w:val="0"/>
          <w:sz w:val="21"/>
          <w:szCs w:val="21"/>
          <w:u w:val="single"/>
        </w:rPr>
      </w:pPr>
    </w:p>
    <w:p w14:paraId="002D9F4F" w14:textId="77CED363" w:rsidR="00D30FC8" w:rsidRDefault="00D30FC8" w:rsidP="00A26630">
      <w:pPr>
        <w:spacing w:line="255" w:lineRule="atLeast"/>
        <w:rPr>
          <w:rFonts w:cs="Arial"/>
          <w:color w:val="0070C0"/>
          <w:kern w:val="0"/>
          <w:sz w:val="21"/>
          <w:szCs w:val="21"/>
          <w:u w:val="single"/>
        </w:rPr>
      </w:pPr>
      <w:r>
        <w:rPr>
          <w:rFonts w:cs="Arial"/>
          <w:color w:val="0070C0"/>
          <w:kern w:val="0"/>
          <w:sz w:val="21"/>
          <w:szCs w:val="21"/>
          <w:u w:val="single"/>
        </w:rPr>
        <w:t>The cumulative cost shall be for materials and labor. If the cost submitted with a flood permit application is not a reasonable representation of the cost, the Code Enforcement Officer shall use RS Means Data, the National Construction Estimator, or National Building Cost Manual as adjusted for inflation and region to establish the cost of the improvement.</w:t>
      </w:r>
    </w:p>
    <w:p w14:paraId="3A154E43" w14:textId="77777777" w:rsidR="005142F8" w:rsidRDefault="005142F8" w:rsidP="00A26630">
      <w:pPr>
        <w:spacing w:line="255" w:lineRule="atLeast"/>
        <w:rPr>
          <w:rFonts w:cs="Arial"/>
          <w:color w:val="0070C0"/>
          <w:kern w:val="0"/>
          <w:sz w:val="21"/>
          <w:szCs w:val="21"/>
          <w:u w:val="single"/>
        </w:rPr>
      </w:pPr>
    </w:p>
    <w:p w14:paraId="2D43FF9F" w14:textId="77777777" w:rsidR="001D1140" w:rsidRDefault="001D1140" w:rsidP="00A26630">
      <w:pPr>
        <w:spacing w:line="255" w:lineRule="atLeast"/>
        <w:rPr>
          <w:rFonts w:cs="Arial"/>
          <w:color w:val="0070C0"/>
          <w:kern w:val="0"/>
          <w:sz w:val="21"/>
          <w:szCs w:val="21"/>
          <w:u w:val="single"/>
        </w:rPr>
      </w:pPr>
    </w:p>
    <w:p w14:paraId="657DB021" w14:textId="0A12A9E8" w:rsidR="001D1140" w:rsidRDefault="001D1140" w:rsidP="00A26630">
      <w:pPr>
        <w:spacing w:line="255" w:lineRule="atLeast"/>
        <w:rPr>
          <w:rFonts w:cs="Arial"/>
          <w:b/>
          <w:bCs/>
          <w:kern w:val="0"/>
          <w:sz w:val="21"/>
          <w:szCs w:val="21"/>
          <w:u w:val="single"/>
        </w:rPr>
      </w:pPr>
      <w:r w:rsidRPr="001D1140">
        <w:rPr>
          <w:rFonts w:cs="Arial"/>
          <w:b/>
          <w:bCs/>
          <w:kern w:val="0"/>
          <w:sz w:val="21"/>
          <w:szCs w:val="21"/>
          <w:u w:val="single"/>
        </w:rPr>
        <w:t>Issues</w:t>
      </w:r>
      <w:r>
        <w:rPr>
          <w:rFonts w:cs="Arial"/>
          <w:b/>
          <w:bCs/>
          <w:kern w:val="0"/>
          <w:sz w:val="21"/>
          <w:szCs w:val="21"/>
          <w:u w:val="single"/>
        </w:rPr>
        <w:t>:</w:t>
      </w:r>
    </w:p>
    <w:p w14:paraId="4E864440" w14:textId="77777777" w:rsidR="001D1140" w:rsidRDefault="001D1140" w:rsidP="00A26630">
      <w:pPr>
        <w:spacing w:line="255" w:lineRule="atLeast"/>
        <w:rPr>
          <w:rFonts w:cs="Arial"/>
          <w:b/>
          <w:bCs/>
          <w:kern w:val="0"/>
          <w:sz w:val="21"/>
          <w:szCs w:val="21"/>
          <w:u w:val="single"/>
        </w:rPr>
      </w:pPr>
    </w:p>
    <w:p w14:paraId="69E43813" w14:textId="64D6C9F0" w:rsidR="00370A32" w:rsidRDefault="00370A32" w:rsidP="00A26630">
      <w:pPr>
        <w:spacing w:line="255" w:lineRule="atLeast"/>
        <w:rPr>
          <w:rFonts w:cs="Arial"/>
          <w:kern w:val="0"/>
          <w:sz w:val="21"/>
          <w:szCs w:val="21"/>
        </w:rPr>
      </w:pPr>
      <w:r w:rsidRPr="00370A32">
        <w:rPr>
          <w:rFonts w:cs="Arial"/>
          <w:kern w:val="0"/>
          <w:sz w:val="21"/>
          <w:szCs w:val="21"/>
        </w:rPr>
        <w:t xml:space="preserve">Use </w:t>
      </w:r>
      <w:r>
        <w:rPr>
          <w:rFonts w:cs="Arial"/>
          <w:kern w:val="0"/>
          <w:sz w:val="21"/>
          <w:szCs w:val="21"/>
        </w:rPr>
        <w:t xml:space="preserve">of </w:t>
      </w:r>
      <w:proofErr w:type="gramStart"/>
      <w:r>
        <w:rPr>
          <w:rFonts w:cs="Arial"/>
          <w:kern w:val="0"/>
          <w:sz w:val="21"/>
          <w:szCs w:val="21"/>
        </w:rPr>
        <w:t>an insurance</w:t>
      </w:r>
      <w:proofErr w:type="gramEnd"/>
      <w:r>
        <w:rPr>
          <w:rFonts w:cs="Arial"/>
          <w:kern w:val="0"/>
          <w:sz w:val="21"/>
          <w:szCs w:val="21"/>
        </w:rPr>
        <w:t xml:space="preserve"> replacement value is not an option in the FEMA Desk Reference.</w:t>
      </w:r>
    </w:p>
    <w:p w14:paraId="4B37EE0B" w14:textId="7348312D" w:rsidR="001D1140" w:rsidRDefault="00370A32" w:rsidP="00A26630">
      <w:pPr>
        <w:spacing w:line="255" w:lineRule="atLeast"/>
        <w:rPr>
          <w:rFonts w:cs="Arial"/>
          <w:kern w:val="0"/>
          <w:sz w:val="21"/>
          <w:szCs w:val="21"/>
        </w:rPr>
      </w:pPr>
      <w:r>
        <w:rPr>
          <w:rFonts w:cs="Arial"/>
          <w:kern w:val="0"/>
          <w:sz w:val="21"/>
          <w:szCs w:val="21"/>
        </w:rPr>
        <w:t>Where is the information available?</w:t>
      </w:r>
    </w:p>
    <w:p w14:paraId="3E2F740A" w14:textId="1ECB748C" w:rsidR="00370A32" w:rsidRDefault="00370A32" w:rsidP="00A26630">
      <w:pPr>
        <w:spacing w:line="255" w:lineRule="atLeast"/>
        <w:rPr>
          <w:rFonts w:cs="Arial"/>
          <w:kern w:val="0"/>
          <w:sz w:val="21"/>
          <w:szCs w:val="21"/>
        </w:rPr>
      </w:pPr>
      <w:r>
        <w:rPr>
          <w:rFonts w:cs="Arial"/>
          <w:kern w:val="0"/>
          <w:sz w:val="21"/>
          <w:szCs w:val="21"/>
        </w:rPr>
        <w:t>How is the value determined? Certified insurance appraiser? Is there a licensing for such an appraiser?</w:t>
      </w:r>
    </w:p>
    <w:p w14:paraId="7140178E" w14:textId="4D6478AA" w:rsidR="00370A32" w:rsidRDefault="00370A32" w:rsidP="00A26630">
      <w:pPr>
        <w:spacing w:line="255" w:lineRule="atLeast"/>
        <w:rPr>
          <w:rFonts w:cs="Arial"/>
          <w:kern w:val="0"/>
          <w:sz w:val="21"/>
          <w:szCs w:val="21"/>
        </w:rPr>
      </w:pPr>
      <w:r>
        <w:rPr>
          <w:rFonts w:cs="Arial"/>
          <w:kern w:val="0"/>
          <w:sz w:val="21"/>
          <w:szCs w:val="21"/>
        </w:rPr>
        <w:t>Owners are not required to have insurance unless they have a mortgage.</w:t>
      </w:r>
    </w:p>
    <w:p w14:paraId="201E66CB" w14:textId="77777777" w:rsidR="00370A32" w:rsidRDefault="00370A32" w:rsidP="00A26630">
      <w:pPr>
        <w:spacing w:line="255" w:lineRule="atLeast"/>
        <w:rPr>
          <w:rFonts w:cs="Arial"/>
          <w:kern w:val="0"/>
          <w:sz w:val="21"/>
          <w:szCs w:val="21"/>
        </w:rPr>
      </w:pPr>
    </w:p>
    <w:p w14:paraId="23F8B035" w14:textId="56B51808" w:rsidR="00370A32" w:rsidRPr="00370A32" w:rsidRDefault="00370A32" w:rsidP="00A26630">
      <w:pPr>
        <w:spacing w:line="255" w:lineRule="atLeast"/>
        <w:rPr>
          <w:rFonts w:cs="Arial"/>
          <w:kern w:val="0"/>
          <w:sz w:val="21"/>
          <w:szCs w:val="21"/>
        </w:rPr>
      </w:pPr>
      <w:r>
        <w:rPr>
          <w:rFonts w:cs="Arial"/>
          <w:kern w:val="0"/>
          <w:sz w:val="21"/>
          <w:szCs w:val="21"/>
        </w:rPr>
        <w:t>All ordinance changes will require the State Flood Management Office/FEMA approval. Can the current proposed changes be sent out for review?</w:t>
      </w:r>
    </w:p>
    <w:sectPr w:rsidR="00370A32" w:rsidRPr="00370A32" w:rsidSect="00EB5D0F">
      <w:footerReference w:type="default" r:id="rId15"/>
      <w:pgSz w:w="12240" w:h="15840"/>
      <w:pgMar w:top="900" w:right="180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C99E" w14:textId="77777777" w:rsidR="00A12763" w:rsidRDefault="00A12763" w:rsidP="00E933C4">
      <w:r>
        <w:separator/>
      </w:r>
    </w:p>
  </w:endnote>
  <w:endnote w:type="continuationSeparator" w:id="0">
    <w:p w14:paraId="237F1830" w14:textId="77777777" w:rsidR="00A12763" w:rsidRDefault="00A12763" w:rsidP="00E9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A22" w14:textId="7CD17B41" w:rsidR="00E933C4" w:rsidRDefault="00E933C4">
    <w:pPr>
      <w:pStyle w:val="Footer"/>
      <w:jc w:val="center"/>
    </w:pPr>
  </w:p>
  <w:p w14:paraId="711E8B93" w14:textId="77777777" w:rsidR="00E933C4" w:rsidRDefault="00E9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0E8D" w14:textId="77777777" w:rsidR="00A12763" w:rsidRDefault="00A12763" w:rsidP="00E933C4">
      <w:r>
        <w:separator/>
      </w:r>
    </w:p>
  </w:footnote>
  <w:footnote w:type="continuationSeparator" w:id="0">
    <w:p w14:paraId="4BB0E924" w14:textId="77777777" w:rsidR="00A12763" w:rsidRDefault="00A12763" w:rsidP="00E9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053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9D24B3"/>
    <w:multiLevelType w:val="hybridMultilevel"/>
    <w:tmpl w:val="85FE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1094C"/>
    <w:multiLevelType w:val="hybridMultilevel"/>
    <w:tmpl w:val="92A8CB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17F50"/>
    <w:multiLevelType w:val="hybridMultilevel"/>
    <w:tmpl w:val="374016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5F4D9B"/>
    <w:multiLevelType w:val="hybridMultilevel"/>
    <w:tmpl w:val="112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15A65"/>
    <w:multiLevelType w:val="hybridMultilevel"/>
    <w:tmpl w:val="3074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32418"/>
    <w:multiLevelType w:val="hybridMultilevel"/>
    <w:tmpl w:val="A594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799576">
    <w:abstractNumId w:val="0"/>
  </w:num>
  <w:num w:numId="2" w16cid:durableId="1891265161">
    <w:abstractNumId w:val="2"/>
  </w:num>
  <w:num w:numId="3" w16cid:durableId="1816606611">
    <w:abstractNumId w:val="1"/>
  </w:num>
  <w:num w:numId="4" w16cid:durableId="651758153">
    <w:abstractNumId w:val="4"/>
  </w:num>
  <w:num w:numId="5" w16cid:durableId="1370451244">
    <w:abstractNumId w:val="6"/>
  </w:num>
  <w:num w:numId="6" w16cid:durableId="1865631090">
    <w:abstractNumId w:val="3"/>
  </w:num>
  <w:num w:numId="7" w16cid:durableId="33098888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F1"/>
    <w:rsid w:val="00001191"/>
    <w:rsid w:val="0001096D"/>
    <w:rsid w:val="00023222"/>
    <w:rsid w:val="00063F0F"/>
    <w:rsid w:val="000744DA"/>
    <w:rsid w:val="000832D1"/>
    <w:rsid w:val="00087C3F"/>
    <w:rsid w:val="00095EBF"/>
    <w:rsid w:val="00096F7C"/>
    <w:rsid w:val="000A467B"/>
    <w:rsid w:val="000A672D"/>
    <w:rsid w:val="000D7034"/>
    <w:rsid w:val="001001C4"/>
    <w:rsid w:val="00115EBF"/>
    <w:rsid w:val="00126D2F"/>
    <w:rsid w:val="001345EE"/>
    <w:rsid w:val="00142D94"/>
    <w:rsid w:val="0014695A"/>
    <w:rsid w:val="0015671A"/>
    <w:rsid w:val="00171AA7"/>
    <w:rsid w:val="00172CF7"/>
    <w:rsid w:val="00172DF9"/>
    <w:rsid w:val="001963AF"/>
    <w:rsid w:val="001B6742"/>
    <w:rsid w:val="001C3C43"/>
    <w:rsid w:val="001D1140"/>
    <w:rsid w:val="001D1A8B"/>
    <w:rsid w:val="001F702C"/>
    <w:rsid w:val="00207B79"/>
    <w:rsid w:val="00232D44"/>
    <w:rsid w:val="002447BF"/>
    <w:rsid w:val="00251EFF"/>
    <w:rsid w:val="002731CE"/>
    <w:rsid w:val="002752F2"/>
    <w:rsid w:val="002C0A80"/>
    <w:rsid w:val="002C6F98"/>
    <w:rsid w:val="002E6C35"/>
    <w:rsid w:val="002E740E"/>
    <w:rsid w:val="002F3D84"/>
    <w:rsid w:val="00302752"/>
    <w:rsid w:val="003155F5"/>
    <w:rsid w:val="003178B6"/>
    <w:rsid w:val="003531F3"/>
    <w:rsid w:val="00363E15"/>
    <w:rsid w:val="00370A32"/>
    <w:rsid w:val="003728FF"/>
    <w:rsid w:val="00383718"/>
    <w:rsid w:val="00386E69"/>
    <w:rsid w:val="00391E8B"/>
    <w:rsid w:val="00397FB3"/>
    <w:rsid w:val="003D2BEC"/>
    <w:rsid w:val="003D5465"/>
    <w:rsid w:val="003E296F"/>
    <w:rsid w:val="003F0EDA"/>
    <w:rsid w:val="003F4A6A"/>
    <w:rsid w:val="00401BC3"/>
    <w:rsid w:val="0040202C"/>
    <w:rsid w:val="004261AC"/>
    <w:rsid w:val="0043118B"/>
    <w:rsid w:val="0043187E"/>
    <w:rsid w:val="00451923"/>
    <w:rsid w:val="00456486"/>
    <w:rsid w:val="00465C69"/>
    <w:rsid w:val="00485C99"/>
    <w:rsid w:val="00485E0D"/>
    <w:rsid w:val="0049205D"/>
    <w:rsid w:val="004A22F3"/>
    <w:rsid w:val="004A5ABE"/>
    <w:rsid w:val="004A7FE3"/>
    <w:rsid w:val="004B2115"/>
    <w:rsid w:val="004D0E24"/>
    <w:rsid w:val="004D5682"/>
    <w:rsid w:val="004E2557"/>
    <w:rsid w:val="00503867"/>
    <w:rsid w:val="005142F8"/>
    <w:rsid w:val="00523282"/>
    <w:rsid w:val="00533CFA"/>
    <w:rsid w:val="00540439"/>
    <w:rsid w:val="00574393"/>
    <w:rsid w:val="00574EFD"/>
    <w:rsid w:val="0057580D"/>
    <w:rsid w:val="00580B58"/>
    <w:rsid w:val="00597679"/>
    <w:rsid w:val="005C5543"/>
    <w:rsid w:val="005C786E"/>
    <w:rsid w:val="005E1938"/>
    <w:rsid w:val="0060345D"/>
    <w:rsid w:val="00623BE3"/>
    <w:rsid w:val="00634421"/>
    <w:rsid w:val="00685521"/>
    <w:rsid w:val="006877A2"/>
    <w:rsid w:val="006A21BA"/>
    <w:rsid w:val="006B54A3"/>
    <w:rsid w:val="006C1626"/>
    <w:rsid w:val="006C1F72"/>
    <w:rsid w:val="006C5CE8"/>
    <w:rsid w:val="006E5B5F"/>
    <w:rsid w:val="006E7CB0"/>
    <w:rsid w:val="0070319B"/>
    <w:rsid w:val="00703CE3"/>
    <w:rsid w:val="00720DCE"/>
    <w:rsid w:val="007225A9"/>
    <w:rsid w:val="00760F83"/>
    <w:rsid w:val="007621F9"/>
    <w:rsid w:val="007704AD"/>
    <w:rsid w:val="00773C44"/>
    <w:rsid w:val="00785311"/>
    <w:rsid w:val="007A5C3B"/>
    <w:rsid w:val="007A7425"/>
    <w:rsid w:val="007B6A95"/>
    <w:rsid w:val="007D6761"/>
    <w:rsid w:val="007E6705"/>
    <w:rsid w:val="008066DA"/>
    <w:rsid w:val="00836134"/>
    <w:rsid w:val="00862762"/>
    <w:rsid w:val="0086799C"/>
    <w:rsid w:val="00874BEE"/>
    <w:rsid w:val="00885492"/>
    <w:rsid w:val="008869EB"/>
    <w:rsid w:val="008A360B"/>
    <w:rsid w:val="008B3F53"/>
    <w:rsid w:val="008D30B2"/>
    <w:rsid w:val="008E5E2A"/>
    <w:rsid w:val="0090153F"/>
    <w:rsid w:val="0090278D"/>
    <w:rsid w:val="009039CB"/>
    <w:rsid w:val="009106CE"/>
    <w:rsid w:val="0091125E"/>
    <w:rsid w:val="00921380"/>
    <w:rsid w:val="0092429C"/>
    <w:rsid w:val="00973239"/>
    <w:rsid w:val="009871D0"/>
    <w:rsid w:val="0099645C"/>
    <w:rsid w:val="009B2F34"/>
    <w:rsid w:val="009B41E4"/>
    <w:rsid w:val="009B6598"/>
    <w:rsid w:val="00A0638B"/>
    <w:rsid w:val="00A12763"/>
    <w:rsid w:val="00A15362"/>
    <w:rsid w:val="00A20371"/>
    <w:rsid w:val="00A22319"/>
    <w:rsid w:val="00A26630"/>
    <w:rsid w:val="00A320D2"/>
    <w:rsid w:val="00A33FB2"/>
    <w:rsid w:val="00A54869"/>
    <w:rsid w:val="00A55F7A"/>
    <w:rsid w:val="00A73C31"/>
    <w:rsid w:val="00A80B06"/>
    <w:rsid w:val="00A83DD8"/>
    <w:rsid w:val="00A96362"/>
    <w:rsid w:val="00A9763F"/>
    <w:rsid w:val="00AA433A"/>
    <w:rsid w:val="00AC7B15"/>
    <w:rsid w:val="00AE697C"/>
    <w:rsid w:val="00AF42CF"/>
    <w:rsid w:val="00AF6008"/>
    <w:rsid w:val="00B11850"/>
    <w:rsid w:val="00B16E5A"/>
    <w:rsid w:val="00B31F18"/>
    <w:rsid w:val="00B3253A"/>
    <w:rsid w:val="00B407CF"/>
    <w:rsid w:val="00B41177"/>
    <w:rsid w:val="00B47E2B"/>
    <w:rsid w:val="00B55588"/>
    <w:rsid w:val="00B649F8"/>
    <w:rsid w:val="00B6758E"/>
    <w:rsid w:val="00B750C7"/>
    <w:rsid w:val="00B80DC4"/>
    <w:rsid w:val="00B80E6B"/>
    <w:rsid w:val="00B84562"/>
    <w:rsid w:val="00B85AF3"/>
    <w:rsid w:val="00B85F7F"/>
    <w:rsid w:val="00B909FE"/>
    <w:rsid w:val="00B96FE8"/>
    <w:rsid w:val="00BA3CBF"/>
    <w:rsid w:val="00BA701D"/>
    <w:rsid w:val="00BB1337"/>
    <w:rsid w:val="00BC659E"/>
    <w:rsid w:val="00BD3B8F"/>
    <w:rsid w:val="00BF01A3"/>
    <w:rsid w:val="00C16959"/>
    <w:rsid w:val="00C26BE1"/>
    <w:rsid w:val="00C3548B"/>
    <w:rsid w:val="00C528A7"/>
    <w:rsid w:val="00C536EA"/>
    <w:rsid w:val="00C63482"/>
    <w:rsid w:val="00C859C4"/>
    <w:rsid w:val="00C94406"/>
    <w:rsid w:val="00CA12C3"/>
    <w:rsid w:val="00CB156E"/>
    <w:rsid w:val="00CD2B3F"/>
    <w:rsid w:val="00CE14B6"/>
    <w:rsid w:val="00CE525D"/>
    <w:rsid w:val="00D01A43"/>
    <w:rsid w:val="00D05607"/>
    <w:rsid w:val="00D21859"/>
    <w:rsid w:val="00D30FC8"/>
    <w:rsid w:val="00D36B91"/>
    <w:rsid w:val="00D56A00"/>
    <w:rsid w:val="00D64C6F"/>
    <w:rsid w:val="00D75C63"/>
    <w:rsid w:val="00D814B1"/>
    <w:rsid w:val="00D870DA"/>
    <w:rsid w:val="00DA6632"/>
    <w:rsid w:val="00DB1929"/>
    <w:rsid w:val="00DB37B6"/>
    <w:rsid w:val="00DC4794"/>
    <w:rsid w:val="00DC6879"/>
    <w:rsid w:val="00DC68CC"/>
    <w:rsid w:val="00DD1503"/>
    <w:rsid w:val="00DE799C"/>
    <w:rsid w:val="00DF5469"/>
    <w:rsid w:val="00E03B09"/>
    <w:rsid w:val="00E2091D"/>
    <w:rsid w:val="00E248E5"/>
    <w:rsid w:val="00E30E39"/>
    <w:rsid w:val="00E372F1"/>
    <w:rsid w:val="00E43DB3"/>
    <w:rsid w:val="00E45E95"/>
    <w:rsid w:val="00E47FC3"/>
    <w:rsid w:val="00E933C4"/>
    <w:rsid w:val="00EB5D0F"/>
    <w:rsid w:val="00ED330A"/>
    <w:rsid w:val="00EE393F"/>
    <w:rsid w:val="00EE5716"/>
    <w:rsid w:val="00EE63B8"/>
    <w:rsid w:val="00F16601"/>
    <w:rsid w:val="00F33CD8"/>
    <w:rsid w:val="00F358A6"/>
    <w:rsid w:val="00F35D1D"/>
    <w:rsid w:val="00F44BD2"/>
    <w:rsid w:val="00F47081"/>
    <w:rsid w:val="00F5307E"/>
    <w:rsid w:val="00F85FD7"/>
    <w:rsid w:val="00FA2659"/>
    <w:rsid w:val="00FA507C"/>
    <w:rsid w:val="00FC6536"/>
    <w:rsid w:val="00FD249C"/>
    <w:rsid w:val="00F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20E62"/>
  <w15:docId w15:val="{E07A7165-B910-4935-BCCE-B353ADCF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2F1"/>
    <w:rPr>
      <w:rFonts w:ascii="Arial" w:hAnsi="Arial"/>
      <w:spacing w:val="-5"/>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372F1"/>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styleId="Hyperlink">
    <w:name w:val="Hyperlink"/>
    <w:rsid w:val="00E372F1"/>
    <w:rPr>
      <w:color w:val="0000FF"/>
      <w:u w:val="single"/>
    </w:rPr>
  </w:style>
  <w:style w:type="table" w:styleId="TableGrid">
    <w:name w:val="Table Grid"/>
    <w:basedOn w:val="TableNormal"/>
    <w:rsid w:val="00E3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503"/>
    <w:rPr>
      <w:rFonts w:ascii="Tahoma" w:hAnsi="Tahoma" w:cs="Tahoma"/>
      <w:sz w:val="16"/>
      <w:szCs w:val="16"/>
    </w:rPr>
  </w:style>
  <w:style w:type="character" w:customStyle="1" w:styleId="BalloonTextChar">
    <w:name w:val="Balloon Text Char"/>
    <w:link w:val="BalloonText"/>
    <w:rsid w:val="00DD1503"/>
    <w:rPr>
      <w:rFonts w:ascii="Tahoma" w:hAnsi="Tahoma" w:cs="Tahoma"/>
      <w:spacing w:val="-5"/>
      <w:kern w:val="28"/>
      <w:sz w:val="16"/>
      <w:szCs w:val="16"/>
    </w:rPr>
  </w:style>
  <w:style w:type="paragraph" w:styleId="ListParagraph">
    <w:name w:val="List Paragraph"/>
    <w:basedOn w:val="Normal"/>
    <w:uiPriority w:val="34"/>
    <w:qFormat/>
    <w:rsid w:val="008A360B"/>
    <w:pPr>
      <w:ind w:left="720"/>
      <w:contextualSpacing/>
    </w:pPr>
  </w:style>
  <w:style w:type="character" w:customStyle="1" w:styleId="titlenumber">
    <w:name w:val="titlenumber"/>
    <w:basedOn w:val="DefaultParagraphFont"/>
    <w:rsid w:val="00C94406"/>
  </w:style>
  <w:style w:type="character" w:customStyle="1" w:styleId="titletitle">
    <w:name w:val="titletitle"/>
    <w:basedOn w:val="DefaultParagraphFont"/>
    <w:rsid w:val="00C94406"/>
  </w:style>
  <w:style w:type="paragraph" w:styleId="NoSpacing">
    <w:name w:val="No Spacing"/>
    <w:uiPriority w:val="1"/>
    <w:qFormat/>
    <w:rsid w:val="00703CE3"/>
    <w:rPr>
      <w:rFonts w:asciiTheme="minorHAnsi" w:eastAsiaTheme="minorHAnsi" w:hAnsiTheme="minorHAnsi" w:cstheme="minorBidi"/>
      <w:sz w:val="22"/>
      <w:szCs w:val="22"/>
    </w:rPr>
  </w:style>
  <w:style w:type="paragraph" w:styleId="Header">
    <w:name w:val="header"/>
    <w:basedOn w:val="Normal"/>
    <w:link w:val="HeaderChar"/>
    <w:unhideWhenUsed/>
    <w:rsid w:val="00E933C4"/>
    <w:pPr>
      <w:tabs>
        <w:tab w:val="center" w:pos="4680"/>
        <w:tab w:val="right" w:pos="9360"/>
      </w:tabs>
    </w:pPr>
  </w:style>
  <w:style w:type="character" w:customStyle="1" w:styleId="HeaderChar">
    <w:name w:val="Header Char"/>
    <w:basedOn w:val="DefaultParagraphFont"/>
    <w:link w:val="Header"/>
    <w:rsid w:val="00E933C4"/>
    <w:rPr>
      <w:rFonts w:ascii="Arial" w:hAnsi="Arial"/>
      <w:spacing w:val="-5"/>
      <w:kern w:val="28"/>
    </w:rPr>
  </w:style>
  <w:style w:type="paragraph" w:styleId="Footer">
    <w:name w:val="footer"/>
    <w:basedOn w:val="Normal"/>
    <w:link w:val="FooterChar"/>
    <w:uiPriority w:val="99"/>
    <w:unhideWhenUsed/>
    <w:rsid w:val="00E933C4"/>
    <w:pPr>
      <w:tabs>
        <w:tab w:val="center" w:pos="4680"/>
        <w:tab w:val="right" w:pos="9360"/>
      </w:tabs>
    </w:pPr>
  </w:style>
  <w:style w:type="character" w:customStyle="1" w:styleId="FooterChar">
    <w:name w:val="Footer Char"/>
    <w:basedOn w:val="DefaultParagraphFont"/>
    <w:link w:val="Footer"/>
    <w:uiPriority w:val="99"/>
    <w:rsid w:val="00E933C4"/>
    <w:rPr>
      <w:rFonts w:ascii="Arial" w:hAnsi="Arial"/>
      <w:spacing w:val="-5"/>
      <w:kern w:val="28"/>
    </w:rPr>
  </w:style>
  <w:style w:type="paragraph" w:customStyle="1" w:styleId="Default">
    <w:name w:val="Default"/>
    <w:rsid w:val="000832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4669">
      <w:bodyDiv w:val="1"/>
      <w:marLeft w:val="0"/>
      <w:marRight w:val="0"/>
      <w:marTop w:val="0"/>
      <w:marBottom w:val="0"/>
      <w:divBdr>
        <w:top w:val="none" w:sz="0" w:space="0" w:color="auto"/>
        <w:left w:val="none" w:sz="0" w:space="0" w:color="auto"/>
        <w:bottom w:val="none" w:sz="0" w:space="0" w:color="auto"/>
        <w:right w:val="none" w:sz="0" w:space="0" w:color="auto"/>
      </w:divBdr>
      <w:divsChild>
        <w:div w:id="2001041065">
          <w:marLeft w:val="0"/>
          <w:marRight w:val="0"/>
          <w:marTop w:val="0"/>
          <w:marBottom w:val="0"/>
          <w:divBdr>
            <w:top w:val="none" w:sz="0" w:space="0" w:color="auto"/>
            <w:left w:val="none" w:sz="0" w:space="0" w:color="auto"/>
            <w:bottom w:val="none" w:sz="0" w:space="0" w:color="auto"/>
            <w:right w:val="none" w:sz="0" w:space="0" w:color="auto"/>
          </w:divBdr>
        </w:div>
        <w:div w:id="1185485193">
          <w:marLeft w:val="480"/>
          <w:marRight w:val="0"/>
          <w:marTop w:val="0"/>
          <w:marBottom w:val="0"/>
          <w:divBdr>
            <w:top w:val="none" w:sz="0" w:space="0" w:color="auto"/>
            <w:left w:val="none" w:sz="0" w:space="0" w:color="auto"/>
            <w:bottom w:val="none" w:sz="0" w:space="0" w:color="auto"/>
            <w:right w:val="none" w:sz="0" w:space="0" w:color="auto"/>
          </w:divBdr>
          <w:divsChild>
            <w:div w:id="1660889943">
              <w:marLeft w:val="0"/>
              <w:marRight w:val="0"/>
              <w:marTop w:val="0"/>
              <w:marBottom w:val="0"/>
              <w:divBdr>
                <w:top w:val="none" w:sz="0" w:space="0" w:color="auto"/>
                <w:left w:val="none" w:sz="0" w:space="0" w:color="auto"/>
                <w:bottom w:val="none" w:sz="0" w:space="0" w:color="auto"/>
                <w:right w:val="none" w:sz="0" w:space="0" w:color="auto"/>
              </w:divBdr>
            </w:div>
          </w:divsChild>
        </w:div>
        <w:div w:id="1026754058">
          <w:marLeft w:val="480"/>
          <w:marRight w:val="0"/>
          <w:marTop w:val="0"/>
          <w:marBottom w:val="0"/>
          <w:divBdr>
            <w:top w:val="none" w:sz="0" w:space="0" w:color="auto"/>
            <w:left w:val="none" w:sz="0" w:space="0" w:color="auto"/>
            <w:bottom w:val="none" w:sz="0" w:space="0" w:color="auto"/>
            <w:right w:val="none" w:sz="0" w:space="0" w:color="auto"/>
          </w:divBdr>
          <w:divsChild>
            <w:div w:id="820848357">
              <w:marLeft w:val="480"/>
              <w:marRight w:val="0"/>
              <w:marTop w:val="0"/>
              <w:marBottom w:val="0"/>
              <w:divBdr>
                <w:top w:val="none" w:sz="0" w:space="0" w:color="auto"/>
                <w:left w:val="none" w:sz="0" w:space="0" w:color="auto"/>
                <w:bottom w:val="none" w:sz="0" w:space="0" w:color="auto"/>
                <w:right w:val="none" w:sz="0" w:space="0" w:color="auto"/>
              </w:divBdr>
              <w:divsChild>
                <w:div w:id="1055277987">
                  <w:marLeft w:val="480"/>
                  <w:marRight w:val="0"/>
                  <w:marTop w:val="0"/>
                  <w:marBottom w:val="0"/>
                  <w:divBdr>
                    <w:top w:val="none" w:sz="0" w:space="0" w:color="auto"/>
                    <w:left w:val="none" w:sz="0" w:space="0" w:color="auto"/>
                    <w:bottom w:val="none" w:sz="0" w:space="0" w:color="auto"/>
                    <w:right w:val="none" w:sz="0" w:space="0" w:color="auto"/>
                  </w:divBdr>
                </w:div>
                <w:div w:id="1639146054">
                  <w:marLeft w:val="480"/>
                  <w:marRight w:val="0"/>
                  <w:marTop w:val="0"/>
                  <w:marBottom w:val="0"/>
                  <w:divBdr>
                    <w:top w:val="none" w:sz="0" w:space="0" w:color="auto"/>
                    <w:left w:val="none" w:sz="0" w:space="0" w:color="auto"/>
                    <w:bottom w:val="none" w:sz="0" w:space="0" w:color="auto"/>
                    <w:right w:val="none" w:sz="0" w:space="0" w:color="auto"/>
                  </w:divBdr>
                </w:div>
              </w:divsChild>
            </w:div>
            <w:div w:id="5689224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92421522">
      <w:bodyDiv w:val="1"/>
      <w:marLeft w:val="0"/>
      <w:marRight w:val="0"/>
      <w:marTop w:val="0"/>
      <w:marBottom w:val="0"/>
      <w:divBdr>
        <w:top w:val="none" w:sz="0" w:space="0" w:color="auto"/>
        <w:left w:val="none" w:sz="0" w:space="0" w:color="auto"/>
        <w:bottom w:val="none" w:sz="0" w:space="0" w:color="auto"/>
        <w:right w:val="none" w:sz="0" w:space="0" w:color="auto"/>
      </w:divBdr>
      <w:divsChild>
        <w:div w:id="168447691">
          <w:marLeft w:val="0"/>
          <w:marRight w:val="0"/>
          <w:marTop w:val="390"/>
          <w:marBottom w:val="0"/>
          <w:divBdr>
            <w:top w:val="none" w:sz="0" w:space="0" w:color="auto"/>
            <w:left w:val="none" w:sz="0" w:space="0" w:color="auto"/>
            <w:bottom w:val="none" w:sz="0" w:space="0" w:color="auto"/>
            <w:right w:val="none" w:sz="0" w:space="0" w:color="auto"/>
          </w:divBdr>
        </w:div>
        <w:div w:id="1400909732">
          <w:marLeft w:val="0"/>
          <w:marRight w:val="0"/>
          <w:marTop w:val="0"/>
          <w:marBottom w:val="0"/>
          <w:divBdr>
            <w:top w:val="none" w:sz="0" w:space="0" w:color="auto"/>
            <w:left w:val="none" w:sz="0" w:space="0" w:color="auto"/>
            <w:bottom w:val="none" w:sz="0" w:space="0" w:color="auto"/>
            <w:right w:val="none" w:sz="0" w:space="0" w:color="auto"/>
          </w:divBdr>
          <w:divsChild>
            <w:div w:id="634258137">
              <w:marLeft w:val="0"/>
              <w:marRight w:val="0"/>
              <w:marTop w:val="0"/>
              <w:marBottom w:val="0"/>
              <w:divBdr>
                <w:top w:val="none" w:sz="0" w:space="0" w:color="auto"/>
                <w:left w:val="none" w:sz="0" w:space="0" w:color="auto"/>
                <w:bottom w:val="none" w:sz="0" w:space="0" w:color="auto"/>
                <w:right w:val="none" w:sz="0" w:space="0" w:color="auto"/>
              </w:divBdr>
              <w:divsChild>
                <w:div w:id="455874119">
                  <w:marLeft w:val="0"/>
                  <w:marRight w:val="0"/>
                  <w:marTop w:val="210"/>
                  <w:marBottom w:val="210"/>
                  <w:divBdr>
                    <w:top w:val="none" w:sz="0" w:space="0" w:color="auto"/>
                    <w:left w:val="none" w:sz="0" w:space="0" w:color="auto"/>
                    <w:bottom w:val="none" w:sz="0" w:space="0" w:color="auto"/>
                    <w:right w:val="none" w:sz="0" w:space="0" w:color="auto"/>
                  </w:divBdr>
                  <w:divsChild>
                    <w:div w:id="1676497579">
                      <w:marLeft w:val="480"/>
                      <w:marRight w:val="0"/>
                      <w:marTop w:val="0"/>
                      <w:marBottom w:val="240"/>
                      <w:divBdr>
                        <w:top w:val="none" w:sz="0" w:space="0" w:color="auto"/>
                        <w:left w:val="none" w:sz="0" w:space="0" w:color="auto"/>
                        <w:bottom w:val="none" w:sz="0" w:space="0" w:color="auto"/>
                        <w:right w:val="none" w:sz="0" w:space="0" w:color="auto"/>
                      </w:divBdr>
                    </w:div>
                  </w:divsChild>
                </w:div>
                <w:div w:id="725493095">
                  <w:marLeft w:val="0"/>
                  <w:marRight w:val="0"/>
                  <w:marTop w:val="210"/>
                  <w:marBottom w:val="210"/>
                  <w:divBdr>
                    <w:top w:val="none" w:sz="0" w:space="0" w:color="auto"/>
                    <w:left w:val="none" w:sz="0" w:space="0" w:color="auto"/>
                    <w:bottom w:val="none" w:sz="0" w:space="0" w:color="auto"/>
                    <w:right w:val="none" w:sz="0" w:space="0" w:color="auto"/>
                  </w:divBdr>
                  <w:divsChild>
                    <w:div w:id="552035079">
                      <w:marLeft w:val="480"/>
                      <w:marRight w:val="0"/>
                      <w:marTop w:val="0"/>
                      <w:marBottom w:val="240"/>
                      <w:divBdr>
                        <w:top w:val="none" w:sz="0" w:space="0" w:color="auto"/>
                        <w:left w:val="none" w:sz="0" w:space="0" w:color="auto"/>
                        <w:bottom w:val="none" w:sz="0" w:space="0" w:color="auto"/>
                        <w:right w:val="none" w:sz="0" w:space="0" w:color="auto"/>
                      </w:divBdr>
                    </w:div>
                  </w:divsChild>
                </w:div>
                <w:div w:id="18051998">
                  <w:marLeft w:val="0"/>
                  <w:marRight w:val="0"/>
                  <w:marTop w:val="210"/>
                  <w:marBottom w:val="0"/>
                  <w:divBdr>
                    <w:top w:val="none" w:sz="0" w:space="0" w:color="auto"/>
                    <w:left w:val="none" w:sz="0" w:space="0" w:color="auto"/>
                    <w:bottom w:val="none" w:sz="0" w:space="0" w:color="auto"/>
                    <w:right w:val="none" w:sz="0" w:space="0" w:color="auto"/>
                  </w:divBdr>
                  <w:divsChild>
                    <w:div w:id="771442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32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ode360.com/print/76106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de360.com/print/76106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langer@wellstow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livingston@wellstown.org" TargetMode="External"/><Relationship Id="rId4" Type="http://schemas.openxmlformats.org/officeDocument/2006/relationships/settings" Target="settings.xml"/><Relationship Id="rId9" Type="http://schemas.openxmlformats.org/officeDocument/2006/relationships/hyperlink" Target="http://www.wellstown.org" TargetMode="External"/><Relationship Id="rId14" Type="http://schemas.openxmlformats.org/officeDocument/2006/relationships/hyperlink" Target="https://ecode360.com/print/7610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479E1-B999-41B9-8554-BEFD0F75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789</Words>
  <Characters>4081</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Wells Planning Department</vt:lpstr>
    </vt:vector>
  </TitlesOfParts>
  <Company>Indiana University</Company>
  <LinksUpToDate>false</LinksUpToDate>
  <CharactersWithSpaces>4846</CharactersWithSpaces>
  <SharedDoc>false</SharedDoc>
  <HLinks>
    <vt:vector size="18" baseType="variant">
      <vt:variant>
        <vt:i4>6357081</vt:i4>
      </vt:variant>
      <vt:variant>
        <vt:i4>6</vt:i4>
      </vt:variant>
      <vt:variant>
        <vt:i4>0</vt:i4>
      </vt:variant>
      <vt:variant>
        <vt:i4>5</vt:i4>
      </vt:variant>
      <vt:variant>
        <vt:lpwstr>mailto:sbelanger@wellstown.org</vt:lpwstr>
      </vt:variant>
      <vt:variant>
        <vt:lpwstr/>
      </vt:variant>
      <vt:variant>
        <vt:i4>1245236</vt:i4>
      </vt:variant>
      <vt:variant>
        <vt:i4>3</vt:i4>
      </vt:variant>
      <vt:variant>
        <vt:i4>0</vt:i4>
      </vt:variant>
      <vt:variant>
        <vt:i4>5</vt:i4>
      </vt:variant>
      <vt:variant>
        <vt:lpwstr>mailto:mlivingston@wellstown.org</vt:lpwstr>
      </vt:variant>
      <vt:variant>
        <vt:lpwstr/>
      </vt:variant>
      <vt:variant>
        <vt:i4>4849670</vt:i4>
      </vt:variant>
      <vt:variant>
        <vt:i4>0</vt:i4>
      </vt:variant>
      <vt:variant>
        <vt:i4>0</vt:i4>
      </vt:variant>
      <vt:variant>
        <vt:i4>5</vt:i4>
      </vt:variant>
      <vt:variant>
        <vt:lpwstr>http://www.wellstown.org/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Planning Department</dc:title>
  <dc:creator>smorey</dc:creator>
  <cp:lastModifiedBy>Mike Livingston</cp:lastModifiedBy>
  <cp:revision>2</cp:revision>
  <cp:lastPrinted>2025-11-14T18:42:00Z</cp:lastPrinted>
  <dcterms:created xsi:type="dcterms:W3CDTF">2026-01-09T17:21:00Z</dcterms:created>
  <dcterms:modified xsi:type="dcterms:W3CDTF">2026-01-09T17:21:00Z</dcterms:modified>
</cp:coreProperties>
</file>